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3D3" w:rsidRPr="00680618" w:rsidRDefault="002B23D3" w:rsidP="002B23D3">
      <w:pPr>
        <w:widowControl w:val="0"/>
        <w:tabs>
          <w:tab w:val="left" w:pos="1701"/>
          <w:tab w:val="right" w:pos="9923"/>
        </w:tabs>
        <w:spacing w:before="120"/>
        <w:rPr>
          <w:rFonts w:ascii="Arial" w:eastAsia="MS Mincho" w:hAnsi="Arial"/>
          <w:b/>
          <w:sz w:val="24"/>
          <w:szCs w:val="24"/>
          <w:lang w:val="en-US" w:eastAsia="x-none"/>
        </w:rPr>
      </w:pPr>
      <w:r w:rsidRPr="00680618">
        <w:rPr>
          <w:rFonts w:ascii="Arial" w:eastAsia="MS Mincho" w:hAnsi="Arial"/>
          <w:b/>
          <w:sz w:val="24"/>
          <w:szCs w:val="24"/>
          <w:lang w:eastAsia="x-none"/>
        </w:rPr>
        <w:t>3GPP TSG-RAN WG2 Meeting #107</w:t>
      </w:r>
      <w:r w:rsidRPr="00680618">
        <w:rPr>
          <w:rFonts w:ascii="Arial" w:eastAsia="MS Mincho" w:hAnsi="Arial"/>
          <w:b/>
          <w:sz w:val="24"/>
          <w:szCs w:val="24"/>
          <w:lang w:eastAsia="x-none"/>
        </w:rPr>
        <w:tab/>
      </w:r>
      <w:r w:rsidR="00213915" w:rsidRPr="00213915">
        <w:rPr>
          <w:rFonts w:ascii="Arial" w:eastAsia="MS Mincho" w:hAnsi="Arial"/>
          <w:b/>
          <w:sz w:val="24"/>
          <w:szCs w:val="24"/>
          <w:lang w:eastAsia="x-none"/>
        </w:rPr>
        <w:t>R2-1911446</w:t>
      </w:r>
    </w:p>
    <w:p w:rsidR="00AA69F1" w:rsidRDefault="002B23D3" w:rsidP="002B23D3">
      <w:pPr>
        <w:spacing w:after="120"/>
        <w:outlineLvl w:val="0"/>
        <w:rPr>
          <w:rFonts w:ascii="Arial" w:eastAsia="MS Mincho" w:hAnsi="Arial" w:cs="Arial"/>
          <w:b/>
          <w:noProof/>
          <w:sz w:val="22"/>
          <w:szCs w:val="22"/>
        </w:rPr>
      </w:pPr>
      <w:r w:rsidRPr="00680618">
        <w:rPr>
          <w:rFonts w:ascii="Arial" w:eastAsia="MS Mincho" w:hAnsi="Arial"/>
          <w:b/>
          <w:sz w:val="24"/>
          <w:szCs w:val="24"/>
          <w:lang w:eastAsia="x-none"/>
        </w:rPr>
        <w:t>Prague, Czech Republic,26th - 30th August 2019</w:t>
      </w:r>
      <w:r w:rsidR="007F48D8" w:rsidRPr="007F48D8">
        <w:rPr>
          <w:rFonts w:ascii="Arial" w:eastAsia="MS Mincho" w:hAnsi="Arial" w:cs="Arial"/>
          <w:b/>
          <w:noProof/>
          <w:sz w:val="22"/>
          <w:szCs w:val="22"/>
        </w:rPr>
        <w:tab/>
      </w:r>
      <w:r w:rsidR="007F48D8" w:rsidRPr="007F48D8">
        <w:rPr>
          <w:rFonts w:ascii="Arial" w:eastAsia="MS Mincho" w:hAnsi="Arial" w:cs="Arial"/>
          <w:b/>
          <w:noProof/>
          <w:sz w:val="22"/>
          <w:szCs w:val="22"/>
        </w:rPr>
        <w:tab/>
        <w:t>(resubmissi</w:t>
      </w:r>
      <w:r w:rsidR="007F48D8" w:rsidRPr="007F48D8">
        <w:rPr>
          <w:rFonts w:ascii="Arial" w:eastAsia="MS Mincho" w:hAnsi="Arial" w:cs="Arial"/>
          <w:b/>
          <w:noProof/>
          <w:sz w:val="22"/>
          <w:szCs w:val="22"/>
        </w:rPr>
        <w:t>on of R2-190</w:t>
      </w:r>
      <w:r>
        <w:rPr>
          <w:rFonts w:ascii="Arial" w:eastAsia="MS Mincho" w:hAnsi="Arial" w:cs="Arial"/>
          <w:b/>
          <w:noProof/>
          <w:sz w:val="22"/>
          <w:szCs w:val="22"/>
        </w:rPr>
        <w:t>8039</w:t>
      </w:r>
      <w:r w:rsidR="007F48D8" w:rsidRPr="007F48D8">
        <w:rPr>
          <w:rFonts w:ascii="Arial" w:eastAsia="MS Mincho" w:hAnsi="Arial" w:cs="Arial"/>
          <w:b/>
          <w:noProof/>
          <w:sz w:val="22"/>
          <w:szCs w:val="22"/>
        </w:rPr>
        <w:t>)</w:t>
      </w:r>
    </w:p>
    <w:p w:rsidR="007F48D8" w:rsidRPr="00770E04" w:rsidRDefault="007F48D8" w:rsidP="007F48D8">
      <w:pPr>
        <w:spacing w:after="120"/>
        <w:outlineLvl w:val="0"/>
        <w:rPr>
          <w:rFonts w:ascii="Arial" w:eastAsia="MS Mincho" w:hAnsi="Arial"/>
          <w:b/>
          <w:noProof/>
          <w:sz w:val="24"/>
        </w:rPr>
      </w:pPr>
      <w:bookmarkStart w:id="0" w:name="_GoBack"/>
      <w:bookmarkEnd w:id="0"/>
    </w:p>
    <w:p w:rsidR="001D2661" w:rsidRPr="006873F3" w:rsidRDefault="001D2661" w:rsidP="001D2661">
      <w:pPr>
        <w:tabs>
          <w:tab w:val="left" w:pos="1985"/>
        </w:tabs>
        <w:spacing w:afterLines="100" w:after="240"/>
        <w:rPr>
          <w:rFonts w:ascii="Arial" w:eastAsia="SimSun" w:hAnsi="Arial" w:cs="Arial"/>
          <w:b/>
          <w:sz w:val="24"/>
          <w:szCs w:val="24"/>
          <w:lang w:val="en-US" w:eastAsia="zh-CN"/>
        </w:rPr>
      </w:pPr>
      <w:r w:rsidRPr="006873F3">
        <w:rPr>
          <w:rFonts w:ascii="Arial" w:eastAsia="SimSun" w:hAnsi="Arial" w:cs="Arial"/>
          <w:b/>
          <w:sz w:val="24"/>
          <w:szCs w:val="24"/>
          <w:lang w:val="en-US"/>
        </w:rPr>
        <w:t>Agenda item:</w:t>
      </w:r>
      <w:r w:rsidRPr="006873F3">
        <w:rPr>
          <w:rFonts w:ascii="Arial" w:eastAsia="SimSun" w:hAnsi="Arial" w:cs="Arial"/>
          <w:b/>
          <w:sz w:val="24"/>
          <w:szCs w:val="24"/>
          <w:lang w:val="en-US"/>
        </w:rPr>
        <w:tab/>
      </w:r>
      <w:r w:rsidR="00973208" w:rsidRPr="00973208">
        <w:rPr>
          <w:rFonts w:ascii="Arial" w:eastAsia="SimSun" w:hAnsi="Arial" w:cs="Arial"/>
          <w:b/>
          <w:sz w:val="24"/>
          <w:szCs w:val="24"/>
          <w:lang w:val="en-US"/>
        </w:rPr>
        <w:t>11.9.3.</w:t>
      </w:r>
      <w:r w:rsidR="002B23D3">
        <w:rPr>
          <w:rFonts w:ascii="Arial" w:eastAsia="SimSun" w:hAnsi="Arial" w:cs="Arial"/>
          <w:b/>
          <w:sz w:val="24"/>
          <w:szCs w:val="24"/>
          <w:lang w:val="en-US"/>
        </w:rPr>
        <w:t>5</w:t>
      </w:r>
    </w:p>
    <w:p w:rsidR="001D2661" w:rsidRPr="006873F3" w:rsidRDefault="001D2661" w:rsidP="001D2661">
      <w:pPr>
        <w:tabs>
          <w:tab w:val="left" w:pos="1985"/>
        </w:tabs>
        <w:spacing w:after="180"/>
        <w:rPr>
          <w:rFonts w:ascii="Arial" w:eastAsia="SimSun" w:hAnsi="Arial" w:cs="Arial"/>
          <w:b/>
          <w:sz w:val="24"/>
          <w:szCs w:val="24"/>
          <w:lang w:val="en-US" w:eastAsia="zh-CN"/>
        </w:rPr>
      </w:pPr>
      <w:r w:rsidRPr="006873F3">
        <w:rPr>
          <w:rFonts w:ascii="Arial" w:eastAsia="SimSun" w:hAnsi="Arial" w:cs="Arial"/>
          <w:b/>
          <w:sz w:val="24"/>
          <w:szCs w:val="24"/>
        </w:rPr>
        <w:t xml:space="preserve">Source: </w:t>
      </w:r>
      <w:r w:rsidRPr="006873F3">
        <w:rPr>
          <w:rFonts w:ascii="Arial" w:eastAsia="SimSun" w:hAnsi="Arial" w:cs="Arial"/>
          <w:b/>
          <w:sz w:val="24"/>
          <w:szCs w:val="24"/>
        </w:rPr>
        <w:tab/>
      </w:r>
      <w:r w:rsidRPr="006873F3">
        <w:rPr>
          <w:rFonts w:ascii="Arial" w:eastAsia="SimSun" w:hAnsi="Arial" w:cs="Arial"/>
          <w:b/>
          <w:sz w:val="24"/>
          <w:szCs w:val="24"/>
          <w:lang w:eastAsia="zh-CN"/>
        </w:rPr>
        <w:t>Samsung Electronics</w:t>
      </w:r>
    </w:p>
    <w:p w:rsidR="001D2661" w:rsidRPr="006873F3" w:rsidRDefault="001D2661" w:rsidP="001D2661">
      <w:pPr>
        <w:tabs>
          <w:tab w:val="left" w:pos="1985"/>
        </w:tabs>
        <w:spacing w:afterLines="100" w:after="240"/>
        <w:ind w:left="1980" w:hanging="1980"/>
        <w:rPr>
          <w:rFonts w:ascii="Arial" w:eastAsia="SimSun" w:hAnsi="Arial" w:cs="Arial"/>
          <w:b/>
          <w:sz w:val="24"/>
          <w:szCs w:val="24"/>
        </w:rPr>
      </w:pPr>
      <w:r w:rsidRPr="006873F3">
        <w:rPr>
          <w:rFonts w:ascii="Arial" w:eastAsia="SimSun" w:hAnsi="Arial" w:cs="Arial"/>
          <w:b/>
          <w:sz w:val="24"/>
          <w:szCs w:val="24"/>
        </w:rPr>
        <w:t xml:space="preserve">Title: </w:t>
      </w:r>
      <w:r w:rsidRPr="006873F3">
        <w:rPr>
          <w:rFonts w:ascii="Arial" w:eastAsia="SimSun" w:hAnsi="Arial" w:cs="Arial"/>
          <w:b/>
          <w:sz w:val="24"/>
          <w:szCs w:val="24"/>
        </w:rPr>
        <w:tab/>
      </w:r>
      <w:r w:rsidR="00FF37FE" w:rsidRPr="006873F3">
        <w:rPr>
          <w:rFonts w:ascii="Arial" w:eastAsia="SimSun" w:hAnsi="Arial" w:cs="Arial"/>
          <w:b/>
          <w:sz w:val="24"/>
          <w:szCs w:val="24"/>
        </w:rPr>
        <w:t>Further e</w:t>
      </w:r>
      <w:r w:rsidRPr="006873F3">
        <w:rPr>
          <w:rFonts w:ascii="Arial" w:eastAsia="SimSun" w:hAnsi="Arial" w:cs="Arial"/>
          <w:b/>
          <w:sz w:val="24"/>
          <w:szCs w:val="24"/>
        </w:rPr>
        <w:t>nhancement of T312 in NR</w:t>
      </w:r>
    </w:p>
    <w:p w:rsidR="001D2661" w:rsidRPr="006873F3" w:rsidRDefault="001D2661" w:rsidP="001D2661">
      <w:pPr>
        <w:tabs>
          <w:tab w:val="left" w:pos="1985"/>
        </w:tabs>
        <w:spacing w:afterLines="100" w:after="240"/>
        <w:ind w:left="1980" w:hanging="1980"/>
        <w:rPr>
          <w:rFonts w:ascii="Arial" w:eastAsia="SimSun" w:hAnsi="Arial" w:cs="Arial"/>
          <w:b/>
          <w:sz w:val="24"/>
          <w:szCs w:val="24"/>
          <w:lang w:eastAsia="zh-CN"/>
        </w:rPr>
      </w:pPr>
      <w:r w:rsidRPr="006873F3">
        <w:rPr>
          <w:rFonts w:ascii="Arial" w:eastAsia="SimSun" w:hAnsi="Arial" w:cs="Arial"/>
          <w:b/>
          <w:sz w:val="24"/>
          <w:szCs w:val="24"/>
        </w:rPr>
        <w:t>WI/SI:</w:t>
      </w:r>
      <w:r w:rsidRPr="006873F3">
        <w:rPr>
          <w:rFonts w:ascii="Arial" w:eastAsia="SimSun" w:hAnsi="Arial" w:cs="Arial"/>
          <w:b/>
          <w:sz w:val="24"/>
          <w:szCs w:val="24"/>
          <w:lang w:eastAsia="zh-CN"/>
        </w:rPr>
        <w:tab/>
      </w:r>
      <w:r w:rsidR="006873F3" w:rsidRPr="006873F3">
        <w:rPr>
          <w:rFonts w:ascii="Arial" w:eastAsia="SimSun" w:hAnsi="Arial" w:cs="Arial"/>
          <w:b/>
          <w:sz w:val="24"/>
          <w:szCs w:val="24"/>
          <w:lang w:eastAsia="zh-CN"/>
        </w:rPr>
        <w:t>NR_Mob_enh-Core</w:t>
      </w:r>
    </w:p>
    <w:p w:rsidR="001D2661" w:rsidRPr="006873F3" w:rsidRDefault="001D2661" w:rsidP="001D2661">
      <w:pPr>
        <w:tabs>
          <w:tab w:val="left" w:pos="1985"/>
        </w:tabs>
        <w:spacing w:afterLines="100" w:after="240"/>
        <w:ind w:left="1980" w:hanging="1980"/>
        <w:rPr>
          <w:rFonts w:ascii="Arial" w:eastAsia="SimSun" w:hAnsi="Arial"/>
          <w:b/>
          <w:sz w:val="24"/>
          <w:lang w:eastAsia="zh-CN"/>
        </w:rPr>
      </w:pPr>
      <w:r w:rsidRPr="006873F3">
        <w:rPr>
          <w:rFonts w:ascii="Arial" w:eastAsia="SimSun" w:hAnsi="Arial" w:cs="Arial"/>
          <w:b/>
          <w:sz w:val="24"/>
          <w:szCs w:val="24"/>
        </w:rPr>
        <w:t>Document for:</w:t>
      </w:r>
      <w:r w:rsidRPr="006873F3">
        <w:rPr>
          <w:rFonts w:ascii="Arial" w:eastAsia="SimSun" w:hAnsi="Arial" w:cs="Arial"/>
          <w:b/>
          <w:sz w:val="24"/>
          <w:szCs w:val="24"/>
        </w:rPr>
        <w:tab/>
        <w:t>Discussion and decision</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lang w:eastAsia="ko-KR"/>
        </w:rPr>
      </w:pPr>
      <w:r w:rsidRPr="00E22C80">
        <w:rPr>
          <w:rFonts w:ascii="Arial" w:hAnsi="Arial" w:cs="Arial"/>
          <w:b/>
          <w:sz w:val="32"/>
        </w:rPr>
        <w:t>1. Introduction</w:t>
      </w:r>
    </w:p>
    <w:p w:rsidR="001D2661" w:rsidRPr="00176774" w:rsidRDefault="001D2661" w:rsidP="001D2661">
      <w:pPr>
        <w:spacing w:line="312" w:lineRule="auto"/>
        <w:rPr>
          <w:sz w:val="22"/>
          <w:szCs w:val="22"/>
          <w:lang w:eastAsia="ko-KR"/>
        </w:rPr>
      </w:pPr>
      <w:r w:rsidRPr="00176774">
        <w:rPr>
          <w:sz w:val="22"/>
          <w:szCs w:val="22"/>
          <w:lang w:eastAsia="ko-KR"/>
        </w:rPr>
        <w:t>Handover and RLF are important mechanisms to support seamless mobility for UEs. In this contribution, we will focus on the situation where a UE experiences poor link quality in a serving cell while moving to a neighbour cell. Note that one of NR deployment scenarios can be dense small cells, where inter-cell interference is severe. Furthermore, in high frequencies</w:t>
      </w:r>
      <w:r>
        <w:rPr>
          <w:sz w:val="22"/>
          <w:szCs w:val="22"/>
          <w:lang w:eastAsia="ko-KR"/>
        </w:rPr>
        <w:t xml:space="preserve"> (e.g. FR2)</w:t>
      </w:r>
      <w:r w:rsidRPr="00176774">
        <w:rPr>
          <w:sz w:val="22"/>
          <w:szCs w:val="22"/>
          <w:lang w:eastAsia="ko-KR"/>
        </w:rPr>
        <w:t xml:space="preserve">, sudden drop in </w:t>
      </w:r>
      <w:r>
        <w:rPr>
          <w:sz w:val="22"/>
          <w:szCs w:val="22"/>
          <w:lang w:eastAsia="ko-KR"/>
        </w:rPr>
        <w:t xml:space="preserve">the </w:t>
      </w:r>
      <w:r w:rsidRPr="00176774">
        <w:rPr>
          <w:sz w:val="22"/>
          <w:szCs w:val="22"/>
          <w:lang w:eastAsia="ko-KR"/>
        </w:rPr>
        <w:t xml:space="preserve">link quality may happen frequently due to blockage or the UE’s rotation. </w:t>
      </w:r>
      <w:r>
        <w:rPr>
          <w:sz w:val="22"/>
          <w:szCs w:val="22"/>
          <w:lang w:eastAsia="ko-KR"/>
        </w:rPr>
        <w:t xml:space="preserve">For our companion paper (asdfasdfads) also covers the basic aspects on adopting T312 operation, </w:t>
      </w:r>
      <w:r w:rsidRPr="00176774">
        <w:rPr>
          <w:sz w:val="22"/>
          <w:szCs w:val="22"/>
          <w:lang w:eastAsia="ko-KR"/>
        </w:rPr>
        <w:t xml:space="preserve">we will discuss the </w:t>
      </w:r>
      <w:r>
        <w:rPr>
          <w:sz w:val="22"/>
          <w:szCs w:val="22"/>
          <w:lang w:eastAsia="ko-KR"/>
        </w:rPr>
        <w:t xml:space="preserve">further enhancements especially for NR as </w:t>
      </w:r>
      <w:r w:rsidRPr="00176774">
        <w:rPr>
          <w:sz w:val="22"/>
          <w:szCs w:val="22"/>
          <w:lang w:eastAsia="ko-KR"/>
        </w:rPr>
        <w:t>following issues:</w:t>
      </w:r>
    </w:p>
    <w:p w:rsidR="001D2661" w:rsidRDefault="001D2661" w:rsidP="001D2661">
      <w:pPr>
        <w:numPr>
          <w:ilvl w:val="0"/>
          <w:numId w:val="1"/>
        </w:numPr>
        <w:spacing w:line="312" w:lineRule="auto"/>
        <w:rPr>
          <w:sz w:val="22"/>
          <w:szCs w:val="22"/>
          <w:lang w:eastAsia="ko-KR"/>
        </w:rPr>
      </w:pPr>
      <w:r>
        <w:rPr>
          <w:sz w:val="22"/>
          <w:szCs w:val="22"/>
          <w:lang w:eastAsia="ko-KR"/>
        </w:rPr>
        <w:t xml:space="preserve">Adopting T312 value configured for the source frequency </w:t>
      </w:r>
    </w:p>
    <w:p w:rsidR="001D2661" w:rsidRPr="00176774" w:rsidRDefault="001D2661" w:rsidP="001D2661">
      <w:pPr>
        <w:numPr>
          <w:ilvl w:val="0"/>
          <w:numId w:val="1"/>
        </w:numPr>
        <w:spacing w:line="312" w:lineRule="auto"/>
        <w:rPr>
          <w:sz w:val="22"/>
          <w:szCs w:val="22"/>
          <w:lang w:eastAsia="ko-KR"/>
        </w:rPr>
      </w:pPr>
      <w:r>
        <w:rPr>
          <w:sz w:val="22"/>
          <w:szCs w:val="22"/>
          <w:lang w:eastAsia="ko-KR"/>
        </w:rPr>
        <w:t>Extension to the SCG failure recovery in MR-DC</w:t>
      </w:r>
    </w:p>
    <w:p w:rsidR="001D2661" w:rsidRDefault="001D2661" w:rsidP="001D2661">
      <w:pPr>
        <w:numPr>
          <w:ilvl w:val="0"/>
          <w:numId w:val="1"/>
        </w:numPr>
        <w:spacing w:line="312" w:lineRule="auto"/>
        <w:rPr>
          <w:sz w:val="22"/>
          <w:szCs w:val="22"/>
          <w:lang w:eastAsia="ko-KR"/>
        </w:rPr>
      </w:pPr>
      <w:r>
        <w:rPr>
          <w:sz w:val="22"/>
          <w:szCs w:val="22"/>
          <w:lang w:eastAsia="ko-KR"/>
        </w:rPr>
        <w:t>Extension to the inter-RAT handover case</w:t>
      </w:r>
    </w:p>
    <w:p w:rsidR="001D2661" w:rsidRPr="00176774" w:rsidRDefault="001D2661" w:rsidP="001D2661">
      <w:pPr>
        <w:pBdr>
          <w:bottom w:val="single" w:sz="4" w:space="1" w:color="auto"/>
        </w:pBdr>
        <w:spacing w:line="312" w:lineRule="auto"/>
        <w:rPr>
          <w:rFonts w:ascii="Arial" w:hAnsi="Arial" w:cs="Arial"/>
        </w:rPr>
      </w:pPr>
    </w:p>
    <w:p w:rsidR="001D2661" w:rsidRPr="00E22C80" w:rsidRDefault="001D2661" w:rsidP="001D2661">
      <w:pPr>
        <w:spacing w:after="120" w:line="312" w:lineRule="auto"/>
        <w:rPr>
          <w:rFonts w:ascii="Arial" w:hAnsi="Arial" w:cs="Arial"/>
          <w:b/>
          <w:sz w:val="32"/>
        </w:rPr>
      </w:pPr>
      <w:r>
        <w:rPr>
          <w:rFonts w:ascii="Arial" w:hAnsi="Arial" w:cs="Arial"/>
          <w:b/>
          <w:sz w:val="32"/>
        </w:rPr>
        <w:t>2</w:t>
      </w:r>
      <w:r w:rsidRPr="00E22C80">
        <w:rPr>
          <w:rFonts w:ascii="Arial" w:hAnsi="Arial" w:cs="Arial"/>
          <w:b/>
          <w:sz w:val="32"/>
        </w:rPr>
        <w:t xml:space="preserve">. </w:t>
      </w:r>
      <w:r>
        <w:rPr>
          <w:rFonts w:ascii="Arial" w:hAnsi="Arial" w:cs="Arial"/>
          <w:b/>
          <w:sz w:val="32"/>
        </w:rPr>
        <w:t xml:space="preserve">Enhancement </w:t>
      </w:r>
      <w:r>
        <w:rPr>
          <w:rFonts w:ascii="Arial" w:hAnsi="Arial" w:cs="Arial"/>
          <w:b/>
          <w:sz w:val="32"/>
          <w:lang w:eastAsia="ko-KR"/>
        </w:rPr>
        <w:t>for T312</w:t>
      </w:r>
      <w:r w:rsidRPr="00E22C80">
        <w:rPr>
          <w:rFonts w:ascii="Arial" w:hAnsi="Arial" w:cs="Arial" w:hint="eastAsia"/>
          <w:b/>
          <w:sz w:val="32"/>
          <w:lang w:eastAsia="ko-KR"/>
        </w:rPr>
        <w:t xml:space="preserve"> in NR</w:t>
      </w:r>
    </w:p>
    <w:p w:rsidR="001D2661" w:rsidRPr="00646CDA" w:rsidRDefault="001D2661" w:rsidP="001D2661">
      <w:pPr>
        <w:spacing w:line="312" w:lineRule="auto"/>
        <w:rPr>
          <w:sz w:val="22"/>
          <w:lang w:eastAsia="ko-KR"/>
        </w:rPr>
      </w:pPr>
      <w:r w:rsidRPr="00646CDA">
        <w:rPr>
          <w:sz w:val="22"/>
          <w:lang w:eastAsia="ko-KR"/>
        </w:rPr>
        <w:t>LTE T312 seems having some limitations</w:t>
      </w:r>
      <w:r>
        <w:rPr>
          <w:sz w:val="22"/>
          <w:lang w:eastAsia="ko-KR"/>
        </w:rPr>
        <w:t xml:space="preserve"> and direct importing this might not be sufficient for NR operation correspondingly</w:t>
      </w:r>
      <w:r w:rsidRPr="00646CDA">
        <w:rPr>
          <w:sz w:val="22"/>
          <w:lang w:eastAsia="ko-KR"/>
        </w:rPr>
        <w:t>. We can consider enhancing it in NR.</w:t>
      </w: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sidRPr="00E22C80">
        <w:rPr>
          <w:rFonts w:ascii="Arial" w:hAnsi="Arial" w:cs="Arial" w:hint="eastAsia"/>
          <w:b/>
          <w:sz w:val="28"/>
          <w:lang w:eastAsia="ko-KR"/>
        </w:rPr>
        <w:t>1</w:t>
      </w:r>
      <w:r w:rsidRPr="00E22C80">
        <w:rPr>
          <w:rFonts w:ascii="Arial" w:hAnsi="Arial" w:cs="Arial"/>
          <w:b/>
          <w:sz w:val="28"/>
        </w:rPr>
        <w:t xml:space="preserve"> </w:t>
      </w:r>
      <w:r>
        <w:rPr>
          <w:rFonts w:ascii="Arial" w:hAnsi="Arial" w:cs="Arial"/>
          <w:b/>
          <w:sz w:val="28"/>
        </w:rPr>
        <w:t xml:space="preserve">Inter-frequency scenario </w:t>
      </w:r>
    </w:p>
    <w:p w:rsidR="001D2661" w:rsidRPr="00646CDA" w:rsidRDefault="001D2661" w:rsidP="001D2661">
      <w:pPr>
        <w:spacing w:line="312" w:lineRule="auto"/>
        <w:rPr>
          <w:sz w:val="22"/>
          <w:lang w:eastAsia="ko-KR"/>
        </w:rPr>
      </w:pPr>
      <w:r w:rsidRPr="00646CDA">
        <w:rPr>
          <w:sz w:val="22"/>
          <w:lang w:eastAsia="ko-KR"/>
        </w:rPr>
        <w:t xml:space="preserve">Even though </w:t>
      </w:r>
      <w:r w:rsidRPr="00646CDA">
        <w:rPr>
          <w:i/>
          <w:sz w:val="22"/>
          <w:lang w:eastAsia="ko-KR"/>
        </w:rPr>
        <w:t>useT312</w:t>
      </w:r>
      <w:r w:rsidRPr="00646CDA">
        <w:rPr>
          <w:sz w:val="22"/>
          <w:lang w:eastAsia="ko-KR"/>
        </w:rPr>
        <w:t xml:space="preserve"> can be configured to any type of events, the main events are A3/A5 and B2. </w:t>
      </w:r>
    </w:p>
    <w:p w:rsidR="001D2661" w:rsidRPr="00646CDA" w:rsidRDefault="001D2661" w:rsidP="001D2661">
      <w:pPr>
        <w:spacing w:line="312" w:lineRule="auto"/>
        <w:rPr>
          <w:sz w:val="22"/>
          <w:lang w:eastAsia="ko-KR"/>
        </w:rPr>
      </w:pPr>
      <w:r w:rsidRPr="00646CDA">
        <w:rPr>
          <w:sz w:val="22"/>
          <w:lang w:eastAsia="ko-KR"/>
        </w:rPr>
        <w:t>In case of inter-frequency handover or inter-RAT handover, the measurement object linked with the reportConfig is the target frequency. However, what really</w:t>
      </w:r>
      <w:r>
        <w:rPr>
          <w:sz w:val="22"/>
          <w:lang w:eastAsia="ko-KR"/>
        </w:rPr>
        <w:t xml:space="preserve"> is of</w:t>
      </w:r>
      <w:r w:rsidRPr="00646CDA">
        <w:rPr>
          <w:sz w:val="22"/>
          <w:lang w:eastAsia="ko-KR"/>
        </w:rPr>
        <w:t xml:space="preserve"> concern here is </w:t>
      </w:r>
      <w:r>
        <w:rPr>
          <w:sz w:val="22"/>
          <w:lang w:eastAsia="ko-KR"/>
        </w:rPr>
        <w:t xml:space="preserve">the </w:t>
      </w:r>
      <w:r w:rsidRPr="00646CDA">
        <w:rPr>
          <w:sz w:val="22"/>
          <w:lang w:eastAsia="ko-KR"/>
        </w:rPr>
        <w:t>source</w:t>
      </w:r>
      <w:r>
        <w:rPr>
          <w:sz w:val="22"/>
          <w:lang w:eastAsia="ko-KR"/>
        </w:rPr>
        <w:t xml:space="preserve"> cell</w:t>
      </w:r>
      <w:r w:rsidRPr="00646CDA">
        <w:rPr>
          <w:sz w:val="22"/>
          <w:lang w:eastAsia="ko-KR"/>
        </w:rPr>
        <w:t xml:space="preserve"> frequency</w:t>
      </w:r>
      <w:r>
        <w:rPr>
          <w:sz w:val="22"/>
          <w:lang w:eastAsia="ko-KR"/>
        </w:rPr>
        <w:t xml:space="preserve">. </w:t>
      </w:r>
      <w:r w:rsidRPr="00646CDA">
        <w:rPr>
          <w:sz w:val="22"/>
          <w:lang w:eastAsia="ko-KR"/>
        </w:rPr>
        <w:t>The scenario would be that</w:t>
      </w:r>
      <w:r>
        <w:rPr>
          <w:sz w:val="22"/>
          <w:lang w:eastAsia="ko-KR"/>
        </w:rPr>
        <w:t xml:space="preserve"> if</w:t>
      </w:r>
      <w:r w:rsidRPr="00646CDA">
        <w:rPr>
          <w:sz w:val="22"/>
          <w:lang w:eastAsia="ko-KR"/>
        </w:rPr>
        <w:t xml:space="preserve"> MR is transmitted when the channel condition in the source cell is very bad</w:t>
      </w:r>
      <w:r>
        <w:rPr>
          <w:sz w:val="22"/>
          <w:lang w:eastAsia="ko-KR"/>
        </w:rPr>
        <w:t>,</w:t>
      </w:r>
      <w:r w:rsidRPr="00646CDA">
        <w:rPr>
          <w:sz w:val="22"/>
          <w:lang w:eastAsia="ko-KR"/>
        </w:rPr>
        <w:t xml:space="preserve"> then using T312 configured for the target freq</w:t>
      </w:r>
      <w:r>
        <w:rPr>
          <w:sz w:val="22"/>
          <w:lang w:eastAsia="ko-KR"/>
        </w:rPr>
        <w:t>uency does not make much sense, i.e., start condition concerns T310 on the source frequency and stop condition concerns the reception of HO command/IN-SYNC indication on the source frequency</w:t>
      </w:r>
      <w:r w:rsidRPr="00646CDA">
        <w:rPr>
          <w:sz w:val="22"/>
          <w:lang w:eastAsia="ko-KR"/>
        </w:rPr>
        <w:t>.</w:t>
      </w:r>
    </w:p>
    <w:p w:rsidR="001D2661" w:rsidRPr="00646CDA" w:rsidRDefault="001D2661" w:rsidP="001D2661">
      <w:pPr>
        <w:spacing w:line="312" w:lineRule="auto"/>
        <w:rPr>
          <w:sz w:val="22"/>
          <w:lang w:eastAsia="ko-KR"/>
        </w:rPr>
      </w:pPr>
      <w:r w:rsidRPr="00646CDA">
        <w:rPr>
          <w:sz w:val="22"/>
          <w:lang w:eastAsia="ko-KR"/>
        </w:rPr>
        <w:t xml:space="preserve"> </w:t>
      </w:r>
    </w:p>
    <w:p w:rsidR="001D2661" w:rsidRDefault="001D2661" w:rsidP="001D2661">
      <w:pPr>
        <w:spacing w:line="312" w:lineRule="auto"/>
        <w:rPr>
          <w:sz w:val="22"/>
          <w:lang w:eastAsia="ko-KR"/>
        </w:rPr>
      </w:pPr>
      <w:r w:rsidRPr="00646CDA">
        <w:rPr>
          <w:sz w:val="22"/>
          <w:lang w:eastAsia="ko-KR"/>
        </w:rPr>
        <w:t xml:space="preserve">We can consider </w:t>
      </w:r>
      <w:r>
        <w:rPr>
          <w:sz w:val="22"/>
          <w:lang w:eastAsia="ko-KR"/>
        </w:rPr>
        <w:t>applying</w:t>
      </w:r>
      <w:r w:rsidRPr="00646CDA">
        <w:rPr>
          <w:sz w:val="22"/>
          <w:lang w:eastAsia="ko-KR"/>
        </w:rPr>
        <w:t xml:space="preserve"> T312 configured for the source frequency (i.e. T312 configured for primary carrier) instead of apply</w:t>
      </w:r>
      <w:r>
        <w:rPr>
          <w:sz w:val="22"/>
          <w:lang w:eastAsia="ko-KR"/>
        </w:rPr>
        <w:t>ing</w:t>
      </w:r>
      <w:r w:rsidRPr="00646CDA">
        <w:rPr>
          <w:sz w:val="22"/>
          <w:lang w:eastAsia="ko-KR"/>
        </w:rPr>
        <w:t xml:space="preserve"> T312 configured for </w:t>
      </w:r>
      <w:r>
        <w:rPr>
          <w:sz w:val="22"/>
          <w:lang w:eastAsia="ko-KR"/>
        </w:rPr>
        <w:t xml:space="preserve">the </w:t>
      </w:r>
      <w:r w:rsidRPr="00646CDA">
        <w:rPr>
          <w:sz w:val="22"/>
          <w:lang w:eastAsia="ko-KR"/>
        </w:rPr>
        <w:t>linked measurement object.</w:t>
      </w:r>
    </w:p>
    <w:p w:rsidR="001D2661" w:rsidRPr="001A5A60" w:rsidRDefault="001D2661" w:rsidP="001D2661">
      <w:pPr>
        <w:spacing w:line="312" w:lineRule="auto"/>
        <w:rPr>
          <w:b/>
          <w:sz w:val="22"/>
          <w:lang w:eastAsia="ko-KR"/>
        </w:rPr>
      </w:pPr>
      <w:r w:rsidRPr="001A5A60">
        <w:rPr>
          <w:b/>
          <w:sz w:val="22"/>
          <w:lang w:eastAsia="ko-KR"/>
        </w:rPr>
        <w:t xml:space="preserve">Proposal </w:t>
      </w:r>
      <w:r>
        <w:rPr>
          <w:b/>
          <w:sz w:val="22"/>
          <w:lang w:eastAsia="ko-KR"/>
        </w:rPr>
        <w:t>1</w:t>
      </w:r>
      <w:r w:rsidRPr="001A5A60">
        <w:rPr>
          <w:b/>
          <w:sz w:val="22"/>
          <w:lang w:eastAsia="ko-KR"/>
        </w:rPr>
        <w:t xml:space="preserve">. RAN2 discuss whether applying T312 </w:t>
      </w:r>
      <w:r>
        <w:rPr>
          <w:b/>
          <w:sz w:val="22"/>
          <w:lang w:eastAsia="ko-KR"/>
        </w:rPr>
        <w:t xml:space="preserve">value </w:t>
      </w:r>
      <w:r w:rsidRPr="001A5A60">
        <w:rPr>
          <w:b/>
          <w:sz w:val="22"/>
          <w:lang w:eastAsia="ko-KR"/>
        </w:rPr>
        <w:t>configured for the source frequency is necessary or not.</w:t>
      </w:r>
    </w:p>
    <w:p w:rsidR="001D2661" w:rsidRPr="004B356D" w:rsidRDefault="001D2661" w:rsidP="001D2661">
      <w:pPr>
        <w:spacing w:line="312" w:lineRule="auto"/>
        <w:rPr>
          <w:sz w:val="22"/>
          <w:lang w:eastAsia="ko-KR"/>
        </w:rPr>
      </w:pPr>
      <w:r w:rsidRPr="004B356D">
        <w:rPr>
          <w:sz w:val="22"/>
          <w:lang w:eastAsia="ko-KR"/>
        </w:rPr>
        <w:t>We have the CR</w:t>
      </w:r>
      <w:r>
        <w:rPr>
          <w:sz w:val="22"/>
          <w:lang w:eastAsia="ko-KR"/>
        </w:rPr>
        <w:t xml:space="preserve"> to show the </w:t>
      </w:r>
      <w:r w:rsidRPr="00BF5E0B">
        <w:rPr>
          <w:sz w:val="22"/>
          <w:lang w:eastAsia="ko-KR"/>
        </w:rPr>
        <w:t>proposed changes [</w:t>
      </w:r>
      <w:r w:rsidR="00C577C1" w:rsidRPr="00BF5E0B">
        <w:rPr>
          <w:sz w:val="22"/>
          <w:lang w:eastAsia="ko-KR"/>
        </w:rPr>
        <w:t>1</w:t>
      </w:r>
      <w:r w:rsidRPr="00BF5E0B">
        <w:rPr>
          <w:sz w:val="22"/>
          <w:lang w:eastAsia="ko-KR"/>
        </w:rPr>
        <w:t>] based</w:t>
      </w:r>
      <w:r>
        <w:rPr>
          <w:sz w:val="22"/>
          <w:lang w:eastAsia="ko-KR"/>
        </w:rPr>
        <w:t xml:space="preserve"> on NR baseline proposal</w:t>
      </w:r>
      <w:r w:rsidRPr="004B356D">
        <w:rPr>
          <w:sz w:val="22"/>
          <w:lang w:eastAsia="ko-KR"/>
        </w:rPr>
        <w:t>.</w:t>
      </w:r>
    </w:p>
    <w:p w:rsidR="001D2661"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b/>
          <w:sz w:val="28"/>
          <w:lang w:eastAsia="ko-KR"/>
        </w:rPr>
        <w:lastRenderedPageBreak/>
        <w:t>2</w:t>
      </w:r>
      <w:r w:rsidRPr="00E22C80">
        <w:rPr>
          <w:rFonts w:ascii="Arial" w:hAnsi="Arial" w:cs="Arial"/>
          <w:b/>
          <w:sz w:val="28"/>
        </w:rPr>
        <w:t>.</w:t>
      </w:r>
      <w:r>
        <w:rPr>
          <w:rFonts w:ascii="Arial" w:hAnsi="Arial" w:cs="Arial"/>
          <w:b/>
          <w:sz w:val="28"/>
        </w:rPr>
        <w:t>2</w:t>
      </w:r>
      <w:r w:rsidRPr="00E22C80">
        <w:rPr>
          <w:rFonts w:ascii="Arial" w:hAnsi="Arial" w:cs="Arial"/>
          <w:b/>
          <w:sz w:val="28"/>
        </w:rPr>
        <w:t xml:space="preserve"> </w:t>
      </w:r>
      <w:r>
        <w:rPr>
          <w:rFonts w:ascii="Arial" w:hAnsi="Arial" w:cs="Arial"/>
          <w:b/>
          <w:sz w:val="28"/>
        </w:rPr>
        <w:t xml:space="preserve">Extension to SCG </w:t>
      </w:r>
    </w:p>
    <w:p w:rsidR="0012119A" w:rsidRDefault="000B196B" w:rsidP="001D2661">
      <w:pPr>
        <w:spacing w:line="312" w:lineRule="auto"/>
        <w:rPr>
          <w:sz w:val="22"/>
          <w:lang w:eastAsia="ko-KR"/>
        </w:rPr>
      </w:pPr>
      <w:r>
        <w:rPr>
          <w:sz w:val="22"/>
          <w:lang w:eastAsia="ko-KR"/>
        </w:rPr>
        <w:t>LTE does not support</w:t>
      </w:r>
      <w:r w:rsidR="001D2661">
        <w:rPr>
          <w:sz w:val="22"/>
          <w:lang w:eastAsia="ko-KR"/>
        </w:rPr>
        <w:t xml:space="preserve"> applying T312 to the SCG change case. </w:t>
      </w:r>
      <w:r w:rsidR="001D2661" w:rsidRPr="00F872E9">
        <w:rPr>
          <w:sz w:val="22"/>
          <w:lang w:eastAsia="ko-KR"/>
        </w:rPr>
        <w:t>However, SCG in NR including EN-DC as well as MR-DC options are considered by operators for commercial deployments compared to LTE-DC which is not yet deployed</w:t>
      </w:r>
      <w:r w:rsidR="001D2661">
        <w:rPr>
          <w:sz w:val="22"/>
          <w:lang w:eastAsia="ko-KR"/>
        </w:rPr>
        <w:t>. So the interruption on SCG link also could have more impact to th</w:t>
      </w:r>
      <w:r w:rsidR="000A5C62">
        <w:rPr>
          <w:sz w:val="22"/>
          <w:lang w:eastAsia="ko-KR"/>
        </w:rPr>
        <w:t xml:space="preserve">e user experience </w:t>
      </w:r>
      <w:r>
        <w:rPr>
          <w:sz w:val="22"/>
          <w:lang w:eastAsia="ko-KR"/>
        </w:rPr>
        <w:t>as compared to that of LTE DC</w:t>
      </w:r>
      <w:r w:rsidR="001D2661" w:rsidRPr="005764A6">
        <w:rPr>
          <w:sz w:val="22"/>
          <w:lang w:eastAsia="ko-KR"/>
        </w:rPr>
        <w:t xml:space="preserve">. </w:t>
      </w:r>
      <w:r>
        <w:rPr>
          <w:sz w:val="22"/>
          <w:lang w:eastAsia="ko-KR"/>
        </w:rPr>
        <w:t xml:space="preserve">If a UE is configured with MR-DC </w:t>
      </w:r>
      <w:r w:rsidR="0012119A">
        <w:rPr>
          <w:sz w:val="22"/>
          <w:lang w:eastAsia="ko-KR"/>
        </w:rPr>
        <w:t>where</w:t>
      </w:r>
      <w:r>
        <w:rPr>
          <w:sz w:val="22"/>
          <w:lang w:eastAsia="ko-KR"/>
        </w:rPr>
        <w:t xml:space="preserve"> SCG configurations are embedded in the reconfiguration message </w:t>
      </w:r>
      <w:r w:rsidR="0012119A">
        <w:rPr>
          <w:sz w:val="22"/>
          <w:lang w:eastAsia="ko-KR"/>
        </w:rPr>
        <w:t>of</w:t>
      </w:r>
      <w:r>
        <w:rPr>
          <w:sz w:val="22"/>
          <w:lang w:eastAsia="ko-KR"/>
        </w:rPr>
        <w:t xml:space="preserve"> M</w:t>
      </w:r>
      <w:r w:rsidR="0012119A">
        <w:rPr>
          <w:sz w:val="22"/>
          <w:lang w:eastAsia="ko-KR"/>
        </w:rPr>
        <w:t>CG</w:t>
      </w:r>
      <w:r>
        <w:rPr>
          <w:sz w:val="22"/>
          <w:lang w:eastAsia="ko-KR"/>
        </w:rPr>
        <w:t xml:space="preserve"> i.e.,</w:t>
      </w:r>
      <w:r w:rsidR="0012119A">
        <w:rPr>
          <w:sz w:val="22"/>
          <w:lang w:eastAsia="ko-KR"/>
        </w:rPr>
        <w:t xml:space="preserve"> </w:t>
      </w:r>
      <w:r>
        <w:rPr>
          <w:sz w:val="22"/>
          <w:lang w:eastAsia="ko-KR"/>
        </w:rPr>
        <w:t xml:space="preserve">SRB3 is not configured, </w:t>
      </w:r>
      <w:r w:rsidR="0012119A">
        <w:rPr>
          <w:sz w:val="22"/>
          <w:lang w:eastAsia="ko-KR"/>
        </w:rPr>
        <w:t xml:space="preserve">all the </w:t>
      </w:r>
      <w:r>
        <w:rPr>
          <w:sz w:val="22"/>
          <w:lang w:eastAsia="ko-KR"/>
        </w:rPr>
        <w:t xml:space="preserve">SCG </w:t>
      </w:r>
      <w:r w:rsidR="0012119A">
        <w:rPr>
          <w:sz w:val="22"/>
          <w:lang w:eastAsia="ko-KR"/>
        </w:rPr>
        <w:t xml:space="preserve">uplink RRC message from the UE is sent to the SN by carrying it over MN message. As a result, </w:t>
      </w:r>
      <w:r>
        <w:rPr>
          <w:sz w:val="22"/>
          <w:lang w:eastAsia="ko-KR"/>
        </w:rPr>
        <w:t xml:space="preserve">measurement reports </w:t>
      </w:r>
      <w:r w:rsidR="0012119A">
        <w:rPr>
          <w:sz w:val="22"/>
          <w:lang w:eastAsia="ko-KR"/>
        </w:rPr>
        <w:t xml:space="preserve">that are triggered for SCG measurement configurations </w:t>
      </w:r>
      <w:r>
        <w:rPr>
          <w:sz w:val="22"/>
          <w:lang w:eastAsia="ko-KR"/>
        </w:rPr>
        <w:t xml:space="preserve">are sent to the network via MCG. </w:t>
      </w:r>
      <w:r w:rsidR="0012119A">
        <w:rPr>
          <w:sz w:val="22"/>
          <w:lang w:eastAsia="ko-KR"/>
        </w:rPr>
        <w:t xml:space="preserve">Therefore, the MSG is aware of the PSCell signal conditions and initiate SCG change procedure as required. </w:t>
      </w:r>
    </w:p>
    <w:p w:rsidR="0012119A" w:rsidRDefault="0012119A" w:rsidP="001D2661">
      <w:pPr>
        <w:spacing w:line="312" w:lineRule="auto"/>
        <w:rPr>
          <w:sz w:val="22"/>
          <w:lang w:eastAsia="ko-KR"/>
        </w:rPr>
      </w:pPr>
    </w:p>
    <w:p w:rsidR="001D2661" w:rsidRDefault="0012119A" w:rsidP="001D2661">
      <w:pPr>
        <w:spacing w:line="312" w:lineRule="auto"/>
        <w:rPr>
          <w:sz w:val="22"/>
          <w:lang w:eastAsia="ko-KR"/>
        </w:rPr>
      </w:pPr>
      <w:r>
        <w:rPr>
          <w:sz w:val="22"/>
          <w:lang w:eastAsia="ko-KR"/>
        </w:rPr>
        <w:t xml:space="preserve">However, if a UE is configured with MR-DC where SCG configurations are provided to the UE over SRB3, any SCG uplink RRC message from the UE is sent to the SN directly over SRB3. </w:t>
      </w:r>
      <w:r w:rsidR="00430526">
        <w:rPr>
          <w:sz w:val="22"/>
          <w:lang w:eastAsia="ko-KR"/>
        </w:rPr>
        <w:t>As a result, measurement reports that are triggered for SCG measurement configurations are sent directly to SN over SRB3. When the signal conditions of PSCell is weak, there is high probability that any triggered measurement reports may not be received successfully by</w:t>
      </w:r>
      <w:r w:rsidR="004A2930">
        <w:rPr>
          <w:sz w:val="22"/>
          <w:lang w:eastAsia="ko-KR"/>
        </w:rPr>
        <w:t xml:space="preserve"> SN, especially if UE is in OUT_OF_SYNC </w:t>
      </w:r>
      <w:r w:rsidR="00430526">
        <w:rPr>
          <w:sz w:val="22"/>
          <w:lang w:eastAsia="ko-KR"/>
        </w:rPr>
        <w:t>state</w:t>
      </w:r>
      <w:r w:rsidR="004A2930">
        <w:rPr>
          <w:sz w:val="22"/>
          <w:lang w:eastAsia="ko-KR"/>
        </w:rPr>
        <w:t xml:space="preserve"> i.e., T310 is running for PSCell at UE side. If the measurement report is not received by the SN due to weak channel, the UE will eventually declare PSCell RLF due to T310 expiry and initiate transmission of SCG failure information to the network thereby informing the network of the RLF on PSCell. Under such cases, when SRB3 is configured and MN is not aware of the UE signal condition to the SN, it is beneficial to have early declaration of RLF to facilitate early transmission of SCG failure information to the network</w:t>
      </w:r>
      <w:r w:rsidR="008017A3">
        <w:rPr>
          <w:sz w:val="22"/>
          <w:lang w:eastAsia="ko-KR"/>
        </w:rPr>
        <w:t xml:space="preserve"> based on T312 timer</w:t>
      </w:r>
      <w:r w:rsidR="004A2930">
        <w:rPr>
          <w:sz w:val="22"/>
          <w:lang w:eastAsia="ko-KR"/>
        </w:rPr>
        <w:t xml:space="preserve">. </w:t>
      </w:r>
      <w:r w:rsidR="001D2661" w:rsidRPr="005764A6">
        <w:rPr>
          <w:sz w:val="22"/>
          <w:lang w:eastAsia="ko-KR"/>
        </w:rPr>
        <w:t xml:space="preserve">This </w:t>
      </w:r>
      <w:r w:rsidR="001D2661">
        <w:rPr>
          <w:sz w:val="22"/>
          <w:lang w:eastAsia="ko-KR"/>
        </w:rPr>
        <w:t xml:space="preserve">extension </w:t>
      </w:r>
      <w:r w:rsidR="001D2661" w:rsidRPr="005764A6">
        <w:rPr>
          <w:sz w:val="22"/>
          <w:lang w:eastAsia="ko-KR"/>
        </w:rPr>
        <w:t>can facilitate less interruption on the bearers configured over SCG as the MCG can perform actions on reception of SCG failure information earlier using T312.</w:t>
      </w:r>
      <w:r w:rsidR="001D2661">
        <w:rPr>
          <w:sz w:val="22"/>
          <w:lang w:eastAsia="ko-KR"/>
        </w:rPr>
        <w:t xml:space="preserve"> Therefore, further extension of using T312 to SCG case also could be discussed.</w:t>
      </w:r>
    </w:p>
    <w:p w:rsidR="001D2661" w:rsidRPr="005764A6" w:rsidRDefault="001D2661" w:rsidP="001D2661">
      <w:pPr>
        <w:spacing w:line="312" w:lineRule="auto"/>
        <w:rPr>
          <w:b/>
          <w:sz w:val="22"/>
          <w:lang w:eastAsia="ko-KR"/>
        </w:rPr>
      </w:pPr>
      <w:r w:rsidRPr="005764A6">
        <w:rPr>
          <w:b/>
          <w:sz w:val="22"/>
          <w:lang w:eastAsia="ko-KR"/>
        </w:rPr>
        <w:t xml:space="preserve">Proposal </w:t>
      </w:r>
      <w:r>
        <w:rPr>
          <w:b/>
          <w:sz w:val="22"/>
          <w:lang w:eastAsia="ko-KR"/>
        </w:rPr>
        <w:t>2</w:t>
      </w:r>
      <w:r w:rsidRPr="005764A6">
        <w:rPr>
          <w:b/>
          <w:sz w:val="22"/>
          <w:lang w:eastAsia="ko-KR"/>
        </w:rPr>
        <w:t xml:space="preserve">. </w:t>
      </w:r>
      <w:r w:rsidRPr="00F872E9">
        <w:rPr>
          <w:b/>
          <w:sz w:val="22"/>
          <w:lang w:eastAsia="ko-KR"/>
        </w:rPr>
        <w:t>RAN2 discuss whether applying T312 operation to SCG failure recovery in MR-DC</w:t>
      </w:r>
      <w:r w:rsidR="00847957">
        <w:rPr>
          <w:b/>
          <w:sz w:val="22"/>
          <w:lang w:eastAsia="ko-KR"/>
        </w:rPr>
        <w:t>, when SRB3 is configured,</w:t>
      </w:r>
      <w:r w:rsidRPr="00F872E9">
        <w:rPr>
          <w:b/>
          <w:sz w:val="22"/>
          <w:lang w:eastAsia="ko-KR"/>
        </w:rPr>
        <w:t xml:space="preserve"> is beneficial</w:t>
      </w:r>
      <w:r>
        <w:rPr>
          <w:b/>
          <w:sz w:val="22"/>
          <w:lang w:eastAsia="ko-KR"/>
        </w:rPr>
        <w:t>.</w:t>
      </w:r>
    </w:p>
    <w:p w:rsidR="001D2661" w:rsidRDefault="00E66830" w:rsidP="001D2661">
      <w:pPr>
        <w:spacing w:line="312" w:lineRule="auto"/>
        <w:rPr>
          <w:sz w:val="22"/>
          <w:lang w:eastAsia="ko-KR"/>
        </w:rPr>
      </w:pPr>
      <w:r>
        <w:rPr>
          <w:sz w:val="22"/>
          <w:lang w:eastAsia="ko-KR"/>
        </w:rPr>
        <w:t>A sequence diagram showing the UE operation based on the proposal is illustrated in the below figure</w:t>
      </w:r>
      <w:r w:rsidR="001D2661">
        <w:rPr>
          <w:sz w:val="22"/>
          <w:lang w:eastAsia="ko-KR"/>
        </w:rPr>
        <w:t>, and also CR</w:t>
      </w:r>
      <w:r w:rsidR="00E03E2D">
        <w:rPr>
          <w:sz w:val="22"/>
          <w:lang w:eastAsia="ko-KR"/>
        </w:rPr>
        <w:t>s</w:t>
      </w:r>
      <w:r w:rsidR="001D2661">
        <w:rPr>
          <w:sz w:val="22"/>
          <w:lang w:eastAsia="ko-KR"/>
        </w:rPr>
        <w:t xml:space="preserve"> for showing th</w:t>
      </w:r>
      <w:r w:rsidR="00C577C1">
        <w:rPr>
          <w:sz w:val="22"/>
          <w:lang w:eastAsia="ko-KR"/>
        </w:rPr>
        <w:t>e complexity of this proposal</w:t>
      </w:r>
      <w:r w:rsidR="00E03E2D">
        <w:rPr>
          <w:sz w:val="22"/>
          <w:lang w:eastAsia="ko-KR"/>
        </w:rPr>
        <w:t xml:space="preserve"> </w:t>
      </w:r>
      <w:r w:rsidR="00E03E2D" w:rsidRPr="00BF5E0B">
        <w:rPr>
          <w:sz w:val="22"/>
          <w:lang w:eastAsia="ko-KR"/>
        </w:rPr>
        <w:t>for MR-DC [2] and (NG)EN-DC</w:t>
      </w:r>
      <w:r w:rsidR="00C577C1" w:rsidRPr="00BF5E0B">
        <w:rPr>
          <w:sz w:val="22"/>
          <w:lang w:eastAsia="ko-KR"/>
        </w:rPr>
        <w:t xml:space="preserve"> [</w:t>
      </w:r>
      <w:r w:rsidR="00E03E2D" w:rsidRPr="00BF5E0B">
        <w:rPr>
          <w:sz w:val="22"/>
          <w:lang w:eastAsia="ko-KR"/>
        </w:rPr>
        <w:t>3</w:t>
      </w:r>
      <w:r w:rsidR="001D2661" w:rsidRPr="00BF5E0B">
        <w:rPr>
          <w:sz w:val="22"/>
          <w:lang w:eastAsia="ko-KR"/>
        </w:rPr>
        <w:t>].</w:t>
      </w:r>
    </w:p>
    <w:p w:rsidR="001D2661" w:rsidRDefault="001D2661" w:rsidP="001D2661">
      <w:pPr>
        <w:spacing w:line="312" w:lineRule="auto"/>
        <w:rPr>
          <w:sz w:val="22"/>
          <w:lang w:eastAsia="ko-KR"/>
        </w:rPr>
      </w:pPr>
    </w:p>
    <w:p w:rsidR="001D2661" w:rsidRPr="00F872E9" w:rsidRDefault="000A5C62" w:rsidP="001D2661">
      <w:pPr>
        <w:spacing w:line="312" w:lineRule="auto"/>
        <w:rPr>
          <w:sz w:val="22"/>
          <w:lang w:eastAsia="ko-KR"/>
        </w:rPr>
      </w:pPr>
      <w:r>
        <w:rPr>
          <w:noProof/>
          <w:sz w:val="22"/>
          <w:lang w:val="en-US" w:eastAsia="ko-KR"/>
        </w:rPr>
        <w:lastRenderedPageBreak/>
        <w:drawing>
          <wp:inline distT="0" distB="0" distL="0" distR="0" wp14:anchorId="3956E78D">
            <wp:extent cx="5390515" cy="424751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90515" cy="4247515"/>
                    </a:xfrm>
                    <a:prstGeom prst="rect">
                      <a:avLst/>
                    </a:prstGeom>
                    <a:noFill/>
                  </pic:spPr>
                </pic:pic>
              </a:graphicData>
            </a:graphic>
          </wp:inline>
        </w:drawing>
      </w:r>
    </w:p>
    <w:p w:rsidR="001D2661" w:rsidRDefault="001D2661" w:rsidP="001D2661">
      <w:pPr>
        <w:spacing w:line="312" w:lineRule="auto"/>
        <w:rPr>
          <w:sz w:val="22"/>
          <w:lang w:eastAsia="ko-KR"/>
        </w:rPr>
      </w:pPr>
    </w:p>
    <w:p w:rsidR="001D2661" w:rsidRPr="00F872E9" w:rsidRDefault="001D2661" w:rsidP="001D2661">
      <w:pPr>
        <w:spacing w:line="312" w:lineRule="auto"/>
        <w:rPr>
          <w:sz w:val="22"/>
          <w:lang w:eastAsia="ko-KR"/>
        </w:rPr>
      </w:pPr>
    </w:p>
    <w:p w:rsidR="001D2661" w:rsidRPr="00E22C80" w:rsidRDefault="001D2661" w:rsidP="001D2661">
      <w:pPr>
        <w:spacing w:after="120" w:line="312" w:lineRule="auto"/>
        <w:rPr>
          <w:rFonts w:ascii="Arial" w:hAnsi="Arial" w:cs="Arial"/>
          <w:b/>
          <w:sz w:val="28"/>
        </w:rPr>
      </w:pPr>
      <w:r>
        <w:rPr>
          <w:rFonts w:ascii="Arial" w:hAnsi="Arial" w:cs="Arial" w:hint="eastAsia"/>
          <w:b/>
          <w:sz w:val="28"/>
          <w:lang w:eastAsia="ko-KR"/>
        </w:rPr>
        <w:t>2</w:t>
      </w:r>
      <w:r w:rsidRPr="00E22C80">
        <w:rPr>
          <w:rFonts w:ascii="Arial" w:hAnsi="Arial" w:cs="Arial"/>
          <w:b/>
          <w:sz w:val="28"/>
        </w:rPr>
        <w:t>.</w:t>
      </w:r>
      <w:r>
        <w:rPr>
          <w:rFonts w:ascii="Arial" w:hAnsi="Arial" w:cs="Arial"/>
          <w:b/>
          <w:sz w:val="28"/>
        </w:rPr>
        <w:t>3</w:t>
      </w:r>
      <w:r w:rsidRPr="00E22C80">
        <w:rPr>
          <w:rFonts w:ascii="Arial" w:hAnsi="Arial" w:cs="Arial"/>
          <w:b/>
          <w:sz w:val="28"/>
        </w:rPr>
        <w:t xml:space="preserve"> </w:t>
      </w:r>
      <w:r>
        <w:rPr>
          <w:rFonts w:ascii="Arial" w:hAnsi="Arial" w:cs="Arial"/>
          <w:b/>
          <w:sz w:val="28"/>
        </w:rPr>
        <w:t>Extension to Inter-RAT handover</w:t>
      </w:r>
    </w:p>
    <w:p w:rsidR="001F2B42" w:rsidRDefault="001F2B42" w:rsidP="001F2B42">
      <w:pPr>
        <w:spacing w:line="312" w:lineRule="auto"/>
        <w:rPr>
          <w:sz w:val="22"/>
          <w:lang w:eastAsia="ko-KR"/>
        </w:rPr>
      </w:pPr>
      <w:r>
        <w:rPr>
          <w:sz w:val="22"/>
          <w:lang w:eastAsia="ko-KR"/>
        </w:rPr>
        <w:t xml:space="preserve">For networks that have already deployed LTE densely, the </w:t>
      </w:r>
      <w:r w:rsidRPr="001F2B42">
        <w:rPr>
          <w:sz w:val="22"/>
          <w:lang w:eastAsia="ko-KR"/>
        </w:rPr>
        <w:t xml:space="preserve">early deployments </w:t>
      </w:r>
      <w:r>
        <w:rPr>
          <w:sz w:val="22"/>
          <w:lang w:eastAsia="ko-KR"/>
        </w:rPr>
        <w:t xml:space="preserve">of NR </w:t>
      </w:r>
      <w:r w:rsidRPr="001F2B42">
        <w:rPr>
          <w:sz w:val="22"/>
          <w:lang w:eastAsia="ko-KR"/>
        </w:rPr>
        <w:t>will mostly have NR deployed sparsely or as hotspots and has a coverage footprint significantly smaller than of existing LTE deployment.</w:t>
      </w:r>
      <w:r>
        <w:rPr>
          <w:sz w:val="22"/>
          <w:lang w:eastAsia="ko-KR"/>
        </w:rPr>
        <w:t xml:space="preserve"> </w:t>
      </w:r>
      <w:r w:rsidRPr="001F2B42">
        <w:rPr>
          <w:sz w:val="22"/>
          <w:lang w:eastAsia="ko-KR"/>
        </w:rPr>
        <w:t xml:space="preserve">In such cases, there is </w:t>
      </w:r>
      <w:r>
        <w:rPr>
          <w:sz w:val="22"/>
          <w:lang w:eastAsia="ko-KR"/>
        </w:rPr>
        <w:t>high probability</w:t>
      </w:r>
      <w:r w:rsidRPr="001F2B42">
        <w:rPr>
          <w:sz w:val="22"/>
          <w:lang w:eastAsia="ko-KR"/>
        </w:rPr>
        <w:t xml:space="preserve"> that </w:t>
      </w:r>
      <w:r>
        <w:rPr>
          <w:sz w:val="22"/>
          <w:lang w:eastAsia="ko-KR"/>
        </w:rPr>
        <w:t>a</w:t>
      </w:r>
      <w:r w:rsidRPr="001F2B42">
        <w:rPr>
          <w:sz w:val="22"/>
          <w:lang w:eastAsia="ko-KR"/>
        </w:rPr>
        <w:t xml:space="preserve"> UE </w:t>
      </w:r>
      <w:r>
        <w:rPr>
          <w:sz w:val="22"/>
          <w:lang w:eastAsia="ko-KR"/>
        </w:rPr>
        <w:t>moves</w:t>
      </w:r>
      <w:r w:rsidRPr="001F2B42">
        <w:rPr>
          <w:sz w:val="22"/>
          <w:lang w:eastAsia="ko-KR"/>
        </w:rPr>
        <w:t xml:space="preserve"> away f</w:t>
      </w:r>
      <w:r>
        <w:rPr>
          <w:sz w:val="22"/>
          <w:lang w:eastAsia="ko-KR"/>
        </w:rPr>
        <w:t>rom NR serving cell and enters</w:t>
      </w:r>
      <w:r w:rsidRPr="001F2B42">
        <w:rPr>
          <w:sz w:val="22"/>
          <w:lang w:eastAsia="ko-KR"/>
        </w:rPr>
        <w:t xml:space="preserve"> into an area where only LTE coverage is available. In such cases, after RLF (T313 expiry) on NR, UE will not find a suitable cell on NR and will </w:t>
      </w:r>
      <w:r>
        <w:rPr>
          <w:sz w:val="22"/>
          <w:lang w:eastAsia="ko-KR"/>
        </w:rPr>
        <w:t xml:space="preserve">eventually </w:t>
      </w:r>
      <w:r w:rsidRPr="001F2B42">
        <w:rPr>
          <w:sz w:val="22"/>
          <w:lang w:eastAsia="ko-KR"/>
        </w:rPr>
        <w:t>search for service on LTE. Once LTE cell is selected, UE will perform connection establishment</w:t>
      </w:r>
      <w:r>
        <w:rPr>
          <w:sz w:val="22"/>
          <w:lang w:eastAsia="ko-KR"/>
        </w:rPr>
        <w:t xml:space="preserve">. In such cases where no NR neighbour cells are available and only LTE cells are available, it is beneficial to declare RLF on NR serving cell and to resume the service on the available LTE i.e, UE will declare RLF early and on determining that there are no NR suitable cells, UE attempts cell selection on LTE and initiated connection establishment procedure on LTE once suitable LTE cell is found. </w:t>
      </w:r>
    </w:p>
    <w:p w:rsidR="002D20A9" w:rsidRDefault="002D20A9" w:rsidP="002D20A9">
      <w:pPr>
        <w:spacing w:line="312" w:lineRule="auto"/>
        <w:rPr>
          <w:sz w:val="22"/>
          <w:lang w:eastAsia="ko-KR"/>
        </w:rPr>
      </w:pPr>
    </w:p>
    <w:p w:rsidR="001D2661" w:rsidRDefault="002D20A9" w:rsidP="001D2661">
      <w:pPr>
        <w:spacing w:line="312" w:lineRule="auto"/>
        <w:rPr>
          <w:sz w:val="22"/>
          <w:lang w:eastAsia="ko-KR"/>
        </w:rPr>
      </w:pPr>
      <w:r>
        <w:rPr>
          <w:sz w:val="22"/>
          <w:lang w:eastAsia="ko-KR"/>
        </w:rPr>
        <w:t>Similarly, there may be deployments where LTE coverage is limited and only NR neighbour cells are there, like LTE coverage holes or even when NR deployment in an area is dense with larger coverage footprint than LTE. In such areas, it is beneficial for the UE to declare early RLF based on T312 expiry on serving LTE cell and attempt for resuming the service on the available NR cell and reduce the service interruption.</w:t>
      </w:r>
      <w:r w:rsidR="001D2661">
        <w:rPr>
          <w:sz w:val="22"/>
          <w:lang w:eastAsia="ko-KR"/>
        </w:rPr>
        <w:t xml:space="preserve"> </w:t>
      </w:r>
      <w:r w:rsidR="001D2661" w:rsidRPr="00F872E9">
        <w:rPr>
          <w:sz w:val="22"/>
          <w:lang w:eastAsia="ko-KR"/>
        </w:rPr>
        <w:t>For Rel-16, we intend to propose the following: If T312 is configured for EUTRA MO, and upon triggering T312 operation and expiry of T312, the UE performs connection setup on the LTE cell. Likewise, if T312 is configured for NR MO, and upon triggering T312 operation and expiry of T312, the UE performs connection setup on the NR cell. (See below figure)</w:t>
      </w:r>
    </w:p>
    <w:p w:rsidR="001D2661" w:rsidRDefault="001D2661" w:rsidP="001D2661">
      <w:pPr>
        <w:spacing w:line="312" w:lineRule="auto"/>
        <w:rPr>
          <w:sz w:val="22"/>
          <w:lang w:eastAsia="ko-KR"/>
        </w:rPr>
      </w:pPr>
      <w:r>
        <w:rPr>
          <w:noProof/>
          <w:sz w:val="22"/>
          <w:lang w:val="en-US" w:eastAsia="ko-KR"/>
        </w:rPr>
        <w:lastRenderedPageBreak/>
        <w:drawing>
          <wp:inline distT="0" distB="0" distL="0" distR="0" wp14:anchorId="3C139FE0" wp14:editId="57E924C6">
            <wp:extent cx="4937760" cy="3950335"/>
            <wp:effectExtent l="0" t="0" r="0" b="0"/>
            <wp:docPr id="1" name="그림 1"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7760" cy="3950335"/>
                    </a:xfrm>
                    <a:prstGeom prst="rect">
                      <a:avLst/>
                    </a:prstGeom>
                    <a:noFill/>
                    <a:ln>
                      <a:noFill/>
                    </a:ln>
                  </pic:spPr>
                </pic:pic>
              </a:graphicData>
            </a:graphic>
          </wp:inline>
        </w:drawing>
      </w:r>
    </w:p>
    <w:p w:rsidR="001D2661" w:rsidRPr="00131787" w:rsidRDefault="001D2661" w:rsidP="001D2661">
      <w:pPr>
        <w:spacing w:line="312" w:lineRule="auto"/>
        <w:rPr>
          <w:b/>
          <w:sz w:val="22"/>
          <w:lang w:eastAsia="ko-KR"/>
        </w:rPr>
      </w:pPr>
      <w:r w:rsidRPr="00352A55">
        <w:rPr>
          <w:b/>
          <w:sz w:val="22"/>
          <w:lang w:eastAsia="ko-KR"/>
        </w:rPr>
        <w:t xml:space="preserve">Proposal </w:t>
      </w:r>
      <w:r>
        <w:rPr>
          <w:b/>
          <w:sz w:val="22"/>
          <w:lang w:eastAsia="ko-KR"/>
        </w:rPr>
        <w:t>3</w:t>
      </w:r>
      <w:r w:rsidRPr="00352A55">
        <w:rPr>
          <w:b/>
          <w:sz w:val="22"/>
          <w:lang w:eastAsia="ko-KR"/>
        </w:rPr>
        <w:t xml:space="preserve">. RAN2 </w:t>
      </w:r>
      <w:r>
        <w:rPr>
          <w:b/>
          <w:sz w:val="22"/>
          <w:lang w:eastAsia="ko-KR"/>
        </w:rPr>
        <w:t xml:space="preserve">to </w:t>
      </w:r>
      <w:r w:rsidRPr="00352A55">
        <w:rPr>
          <w:b/>
          <w:sz w:val="22"/>
          <w:lang w:eastAsia="ko-KR"/>
        </w:rPr>
        <w:t xml:space="preserve">discuss </w:t>
      </w:r>
      <w:r>
        <w:rPr>
          <w:b/>
          <w:sz w:val="22"/>
          <w:lang w:eastAsia="ko-KR"/>
        </w:rPr>
        <w:t xml:space="preserve">the following procedure is beneficial or not: </w:t>
      </w:r>
      <w:r w:rsidRPr="00131787">
        <w:rPr>
          <w:b/>
          <w:sz w:val="22"/>
          <w:lang w:eastAsia="ko-KR"/>
        </w:rPr>
        <w:t>If T312 is configured</w:t>
      </w:r>
      <w:r w:rsidR="002D20A9">
        <w:rPr>
          <w:b/>
          <w:sz w:val="22"/>
          <w:lang w:eastAsia="ko-KR"/>
        </w:rPr>
        <w:t xml:space="preserve"> on NR cell</w:t>
      </w:r>
      <w:r w:rsidRPr="00131787">
        <w:rPr>
          <w:b/>
          <w:sz w:val="22"/>
          <w:lang w:eastAsia="ko-KR"/>
        </w:rPr>
        <w:t xml:space="preserve"> for EUTRA MO, and upon triggering T312 operation and expiry of T312, the UE performs connection setup on the LTE cell. Likewise, if T312 is configured</w:t>
      </w:r>
      <w:r w:rsidR="002D20A9">
        <w:rPr>
          <w:b/>
          <w:sz w:val="22"/>
          <w:lang w:eastAsia="ko-KR"/>
        </w:rPr>
        <w:t xml:space="preserve"> on EUTRA cell</w:t>
      </w:r>
      <w:r w:rsidRPr="00131787">
        <w:rPr>
          <w:b/>
          <w:sz w:val="22"/>
          <w:lang w:eastAsia="ko-KR"/>
        </w:rPr>
        <w:t xml:space="preserve"> for NR MO, and upon triggering T312 operation and expiry of T312, the UE performs connection setup on the NR cell.</w:t>
      </w:r>
    </w:p>
    <w:p w:rsidR="001D2661" w:rsidRDefault="001D2661" w:rsidP="001D2661">
      <w:pPr>
        <w:spacing w:line="312" w:lineRule="auto"/>
        <w:rPr>
          <w:sz w:val="22"/>
          <w:lang w:eastAsia="ko-KR"/>
        </w:rPr>
      </w:pPr>
      <w:r>
        <w:rPr>
          <w:sz w:val="22"/>
          <w:lang w:eastAsia="ko-KR"/>
        </w:rPr>
        <w:t xml:space="preserve"> W</w:t>
      </w:r>
      <w:r>
        <w:rPr>
          <w:rFonts w:hint="eastAsia"/>
          <w:sz w:val="22"/>
          <w:lang w:eastAsia="ko-KR"/>
        </w:rPr>
        <w:t xml:space="preserve">e </w:t>
      </w:r>
      <w:r>
        <w:rPr>
          <w:sz w:val="22"/>
          <w:lang w:eastAsia="ko-KR"/>
        </w:rPr>
        <w:t>have CR</w:t>
      </w:r>
      <w:r w:rsidR="00E03E2D">
        <w:rPr>
          <w:sz w:val="22"/>
          <w:lang w:eastAsia="ko-KR"/>
        </w:rPr>
        <w:t>s</w:t>
      </w:r>
      <w:r>
        <w:rPr>
          <w:sz w:val="22"/>
          <w:lang w:eastAsia="ko-KR"/>
        </w:rPr>
        <w:t xml:space="preserve"> for showing the complexity of this proposal</w:t>
      </w:r>
      <w:r w:rsidR="00E03E2D">
        <w:rPr>
          <w:sz w:val="22"/>
          <w:lang w:eastAsia="ko-KR"/>
        </w:rPr>
        <w:t xml:space="preserve"> for </w:t>
      </w:r>
      <w:r w:rsidR="00E03E2D" w:rsidRPr="00BF5E0B">
        <w:rPr>
          <w:sz w:val="22"/>
          <w:lang w:eastAsia="ko-KR"/>
        </w:rPr>
        <w:t>NR</w:t>
      </w:r>
      <w:r w:rsidRPr="00BF5E0B">
        <w:rPr>
          <w:sz w:val="22"/>
          <w:lang w:eastAsia="ko-KR"/>
        </w:rPr>
        <w:t xml:space="preserve"> [</w:t>
      </w:r>
      <w:r w:rsidR="00E03E2D" w:rsidRPr="00BF5E0B">
        <w:rPr>
          <w:sz w:val="22"/>
          <w:lang w:eastAsia="ko-KR"/>
        </w:rPr>
        <w:t>4</w:t>
      </w:r>
      <w:r w:rsidRPr="00BF5E0B">
        <w:rPr>
          <w:sz w:val="22"/>
          <w:lang w:eastAsia="ko-KR"/>
        </w:rPr>
        <w:t>]</w:t>
      </w:r>
      <w:r w:rsidR="00E03E2D" w:rsidRPr="00BF5E0B">
        <w:rPr>
          <w:sz w:val="22"/>
          <w:lang w:eastAsia="ko-KR"/>
        </w:rPr>
        <w:t xml:space="preserve"> and for EUTRA [5]</w:t>
      </w:r>
      <w:r w:rsidRPr="00BF5E0B">
        <w:rPr>
          <w:sz w:val="22"/>
          <w:lang w:eastAsia="ko-KR"/>
        </w:rPr>
        <w:t>.</w:t>
      </w:r>
    </w:p>
    <w:p w:rsidR="001D2661" w:rsidRPr="004B356D" w:rsidRDefault="001D2661" w:rsidP="001D2661">
      <w:pPr>
        <w:spacing w:line="312" w:lineRule="auto"/>
        <w:rPr>
          <w:sz w:val="22"/>
          <w:lang w:eastAsia="ko-KR"/>
        </w:rPr>
      </w:pPr>
    </w:p>
    <w:p w:rsidR="001D2661" w:rsidRDefault="001D2661" w:rsidP="001D2661"/>
    <w:p w:rsidR="001D2661" w:rsidRDefault="001D2661" w:rsidP="001D2661"/>
    <w:p w:rsidR="001D2661" w:rsidRPr="00F81FA7" w:rsidRDefault="001D2661" w:rsidP="001D2661">
      <w:pPr>
        <w:pBdr>
          <w:bottom w:val="single" w:sz="4" w:space="1" w:color="auto"/>
        </w:pBdr>
        <w:spacing w:line="312" w:lineRule="auto"/>
        <w:rPr>
          <w:sz w:val="22"/>
          <w:szCs w:val="22"/>
          <w:lang w:eastAsia="ko-KR"/>
        </w:rPr>
      </w:pPr>
    </w:p>
    <w:p w:rsidR="001D2661" w:rsidRPr="00E22C80" w:rsidRDefault="001D2661" w:rsidP="001D2661">
      <w:pPr>
        <w:spacing w:after="120" w:line="312" w:lineRule="auto"/>
        <w:rPr>
          <w:rFonts w:ascii="Arial" w:hAnsi="Arial" w:cs="Arial"/>
          <w:b/>
          <w:sz w:val="32"/>
        </w:rPr>
      </w:pPr>
      <w:r w:rsidRPr="00E22C80">
        <w:rPr>
          <w:rFonts w:ascii="Arial" w:hAnsi="Arial" w:cs="Arial"/>
          <w:b/>
          <w:sz w:val="32"/>
        </w:rPr>
        <w:t>4. References</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1</w:t>
      </w:r>
      <w:r w:rsidRPr="00BF5E0B">
        <w:rPr>
          <w:sz w:val="22"/>
          <w:lang w:eastAsia="ko-KR"/>
        </w:rPr>
        <w:t xml:space="preserve">] </w:t>
      </w:r>
      <w:r w:rsidR="00D302AB" w:rsidRPr="00D302AB">
        <w:rPr>
          <w:sz w:val="22"/>
          <w:lang w:eastAsia="ko-KR"/>
        </w:rPr>
        <w:t>R2-1905150</w:t>
      </w:r>
      <w:r w:rsidR="00BF5E0B" w:rsidRPr="00BF5E0B">
        <w:rPr>
          <w:sz w:val="22"/>
          <w:lang w:eastAsia="ko-KR"/>
        </w:rPr>
        <w:t>, Applying T312 on serving frequency in NR, RAN2#105</w:t>
      </w:r>
      <w:r w:rsidR="000B5681">
        <w:rPr>
          <w:sz w:val="22"/>
          <w:lang w:eastAsia="ko-KR"/>
        </w:rPr>
        <w:t>b</w:t>
      </w:r>
      <w:r w:rsidR="00BF5E0B" w:rsidRPr="00BF5E0B">
        <w:rPr>
          <w:sz w:val="22"/>
          <w:lang w:eastAsia="ko-KR"/>
        </w:rPr>
        <w:t>, Samsung</w:t>
      </w:r>
    </w:p>
    <w:p w:rsidR="00BF5E0B" w:rsidRPr="00BF5E0B" w:rsidRDefault="001D2661" w:rsidP="001D2661">
      <w:pPr>
        <w:spacing w:line="312" w:lineRule="auto"/>
        <w:rPr>
          <w:sz w:val="22"/>
          <w:lang w:eastAsia="ko-KR"/>
        </w:rPr>
      </w:pPr>
      <w:r w:rsidRPr="00BF5E0B">
        <w:rPr>
          <w:sz w:val="22"/>
          <w:lang w:eastAsia="ko-KR"/>
        </w:rPr>
        <w:t>[</w:t>
      </w:r>
      <w:r w:rsidR="00C577C1" w:rsidRPr="00BF5E0B">
        <w:rPr>
          <w:sz w:val="22"/>
          <w:lang w:eastAsia="ko-KR"/>
        </w:rPr>
        <w:t>2</w:t>
      </w:r>
      <w:r w:rsidRPr="00BF5E0B">
        <w:rPr>
          <w:sz w:val="22"/>
          <w:lang w:eastAsia="ko-KR"/>
        </w:rPr>
        <w:t xml:space="preserve">] </w:t>
      </w:r>
      <w:r w:rsidR="00BF5E0B" w:rsidRPr="00BF5E0B">
        <w:rPr>
          <w:sz w:val="22"/>
          <w:lang w:eastAsia="ko-KR"/>
        </w:rPr>
        <w:t>R2-</w:t>
      </w:r>
      <w:r w:rsidR="000B5681" w:rsidRPr="000B5681">
        <w:t xml:space="preserve"> </w:t>
      </w:r>
      <w:r w:rsidR="000B5681" w:rsidRPr="000B5681">
        <w:rPr>
          <w:sz w:val="22"/>
          <w:lang w:eastAsia="ko-KR"/>
        </w:rPr>
        <w:t>1904383</w:t>
      </w:r>
      <w:r w:rsidR="00BF5E0B" w:rsidRPr="00BF5E0B">
        <w:rPr>
          <w:sz w:val="22"/>
          <w:lang w:eastAsia="ko-KR"/>
        </w:rPr>
        <w:t>, Introduction of early RLF declaration or fast handover failure recovery for PSCell in MR-DC, RAN2#105</w:t>
      </w:r>
      <w:r w:rsidR="000B5681">
        <w:rPr>
          <w:sz w:val="22"/>
          <w:lang w:eastAsia="ko-KR"/>
        </w:rPr>
        <w:t>b</w:t>
      </w:r>
      <w:r w:rsidR="00BF5E0B" w:rsidRPr="00BF5E0B">
        <w:rPr>
          <w:sz w:val="22"/>
          <w:lang w:eastAsia="ko-KR"/>
        </w:rPr>
        <w:t>, Samsung</w:t>
      </w:r>
    </w:p>
    <w:p w:rsidR="00BF5E0B" w:rsidRPr="00BF5E0B" w:rsidRDefault="00E03E2D" w:rsidP="001D2661">
      <w:pPr>
        <w:spacing w:line="312" w:lineRule="auto"/>
        <w:rPr>
          <w:sz w:val="22"/>
          <w:lang w:eastAsia="ko-KR"/>
        </w:rPr>
      </w:pPr>
      <w:r w:rsidRPr="00BF5E0B">
        <w:rPr>
          <w:sz w:val="22"/>
          <w:lang w:eastAsia="ko-KR"/>
        </w:rPr>
        <w:t xml:space="preserve">[3] </w:t>
      </w:r>
      <w:r w:rsidR="00BF5E0B" w:rsidRPr="00BF5E0B">
        <w:rPr>
          <w:sz w:val="22"/>
          <w:lang w:eastAsia="ko-KR"/>
        </w:rPr>
        <w:t>R2-</w:t>
      </w:r>
      <w:r w:rsidR="000B5681" w:rsidRPr="000B5681">
        <w:t xml:space="preserve"> </w:t>
      </w:r>
      <w:r w:rsidR="000B5681" w:rsidRPr="000B5681">
        <w:rPr>
          <w:sz w:val="22"/>
          <w:lang w:eastAsia="ko-KR"/>
        </w:rPr>
        <w:t>1904391</w:t>
      </w:r>
      <w:r w:rsidR="00BF5E0B" w:rsidRPr="00BF5E0B">
        <w:rPr>
          <w:sz w:val="22"/>
          <w:lang w:eastAsia="ko-KR"/>
        </w:rPr>
        <w:t>, Introduction of early RLF declaration for PSCell in (NG)EN-DC, RAN2#105</w:t>
      </w:r>
      <w:r w:rsidR="000B5681">
        <w:rPr>
          <w:sz w:val="22"/>
          <w:lang w:eastAsia="ko-KR"/>
        </w:rPr>
        <w:t>b</w:t>
      </w:r>
      <w:r w:rsidR="00BF5E0B" w:rsidRPr="00BF5E0B">
        <w:rPr>
          <w:sz w:val="22"/>
          <w:lang w:eastAsia="ko-KR"/>
        </w:rPr>
        <w:t>, Samsung</w:t>
      </w:r>
    </w:p>
    <w:p w:rsidR="00E03E2D" w:rsidRPr="00BF5E0B" w:rsidRDefault="001D2661" w:rsidP="001D2661">
      <w:pPr>
        <w:spacing w:line="312" w:lineRule="auto"/>
        <w:rPr>
          <w:sz w:val="22"/>
          <w:lang w:eastAsia="ko-KR"/>
        </w:rPr>
      </w:pPr>
      <w:r w:rsidRPr="00BF5E0B">
        <w:rPr>
          <w:sz w:val="22"/>
          <w:lang w:eastAsia="ko-KR"/>
        </w:rPr>
        <w:t>[</w:t>
      </w:r>
      <w:r w:rsidR="00E03E2D" w:rsidRPr="00BF5E0B">
        <w:rPr>
          <w:sz w:val="22"/>
          <w:lang w:eastAsia="ko-KR"/>
        </w:rPr>
        <w:t>4</w:t>
      </w:r>
      <w:r w:rsidRPr="00BF5E0B">
        <w:rPr>
          <w:sz w:val="22"/>
          <w:lang w:eastAsia="ko-KR"/>
        </w:rPr>
        <w:t xml:space="preserve">] </w:t>
      </w:r>
      <w:r w:rsidR="00BF5E0B" w:rsidRPr="00BF5E0B">
        <w:rPr>
          <w:sz w:val="22"/>
          <w:lang w:eastAsia="ko-KR"/>
        </w:rPr>
        <w:t>R2-</w:t>
      </w:r>
      <w:r w:rsidR="000B5681" w:rsidRPr="000B5681">
        <w:t xml:space="preserve"> </w:t>
      </w:r>
      <w:r w:rsidR="000B5681" w:rsidRPr="000B5681">
        <w:rPr>
          <w:sz w:val="22"/>
          <w:lang w:eastAsia="ko-KR"/>
        </w:rPr>
        <w:t>1904387</w:t>
      </w:r>
      <w:r w:rsidR="00BF5E0B" w:rsidRPr="00BF5E0B">
        <w:rPr>
          <w:sz w:val="22"/>
          <w:lang w:eastAsia="ko-KR"/>
        </w:rPr>
        <w:t>, Introduction of T312 for IRAT EUTRA measurement in NR, RAN2#105</w:t>
      </w:r>
      <w:r w:rsidR="000B5681">
        <w:rPr>
          <w:sz w:val="22"/>
          <w:lang w:eastAsia="ko-KR"/>
        </w:rPr>
        <w:t>b</w:t>
      </w:r>
      <w:r w:rsidR="00BF5E0B" w:rsidRPr="00BF5E0B">
        <w:rPr>
          <w:sz w:val="22"/>
          <w:lang w:eastAsia="ko-KR"/>
        </w:rPr>
        <w:t>, Samsung</w:t>
      </w:r>
    </w:p>
    <w:p w:rsidR="001D2661" w:rsidRDefault="00E03E2D" w:rsidP="001D2661">
      <w:pPr>
        <w:spacing w:line="312" w:lineRule="auto"/>
        <w:rPr>
          <w:sz w:val="22"/>
          <w:lang w:eastAsia="ko-KR"/>
        </w:rPr>
      </w:pPr>
      <w:r w:rsidRPr="00BF5E0B">
        <w:rPr>
          <w:sz w:val="22"/>
          <w:lang w:eastAsia="ko-KR"/>
        </w:rPr>
        <w:t xml:space="preserve">[5] </w:t>
      </w:r>
      <w:r w:rsidR="00BF5E0B" w:rsidRPr="00BF5E0B">
        <w:rPr>
          <w:sz w:val="22"/>
          <w:lang w:eastAsia="ko-KR"/>
        </w:rPr>
        <w:t>R2-</w:t>
      </w:r>
      <w:r w:rsidR="000B5681" w:rsidRPr="000B5681">
        <w:t xml:space="preserve"> </w:t>
      </w:r>
      <w:r w:rsidR="000B5681" w:rsidRPr="000B5681">
        <w:rPr>
          <w:sz w:val="22"/>
          <w:lang w:eastAsia="ko-KR"/>
        </w:rPr>
        <w:t>1904390</w:t>
      </w:r>
      <w:r w:rsidR="00BF5E0B">
        <w:rPr>
          <w:sz w:val="22"/>
          <w:lang w:eastAsia="ko-KR"/>
        </w:rPr>
        <w:t>,</w:t>
      </w:r>
      <w:r w:rsidR="00BF5E0B" w:rsidRPr="00BF5E0B">
        <w:rPr>
          <w:sz w:val="22"/>
          <w:lang w:eastAsia="ko-KR"/>
        </w:rPr>
        <w:t xml:space="preserve"> Introduction of T312 for IRAT NR measurement in EUTRA</w:t>
      </w:r>
      <w:r w:rsidR="00BF5E0B">
        <w:rPr>
          <w:sz w:val="22"/>
          <w:lang w:eastAsia="ko-KR"/>
        </w:rPr>
        <w:t>, RAN2#105</w:t>
      </w:r>
      <w:r w:rsidR="000B5681">
        <w:rPr>
          <w:sz w:val="22"/>
          <w:lang w:eastAsia="ko-KR"/>
        </w:rPr>
        <w:t>b</w:t>
      </w:r>
      <w:r w:rsidR="00BF5E0B">
        <w:rPr>
          <w:sz w:val="22"/>
          <w:lang w:eastAsia="ko-KR"/>
        </w:rPr>
        <w:t>, Samsung</w:t>
      </w:r>
    </w:p>
    <w:p w:rsidR="001D2661" w:rsidRDefault="001D2661" w:rsidP="001D2661">
      <w:pPr>
        <w:spacing w:line="312" w:lineRule="auto"/>
        <w:rPr>
          <w:sz w:val="22"/>
          <w:lang w:eastAsia="ko-KR"/>
        </w:rPr>
      </w:pPr>
    </w:p>
    <w:p w:rsidR="001D2661" w:rsidRPr="00BF5E0B" w:rsidRDefault="001D2661" w:rsidP="001D2661"/>
    <w:p w:rsidR="001D2661" w:rsidRPr="001D2661" w:rsidRDefault="001D2661" w:rsidP="001D2661">
      <w:pPr>
        <w:spacing w:after="120" w:line="312" w:lineRule="auto"/>
        <w:rPr>
          <w:rFonts w:ascii="Arial" w:hAnsi="Arial" w:cs="Arial"/>
          <w:b/>
          <w:sz w:val="32"/>
        </w:rPr>
      </w:pPr>
    </w:p>
    <w:sectPr w:rsidR="001D2661" w:rsidRPr="001D26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F41" w:rsidRDefault="00837F41" w:rsidP="00F41780">
      <w:r>
        <w:separator/>
      </w:r>
    </w:p>
  </w:endnote>
  <w:endnote w:type="continuationSeparator" w:id="0">
    <w:p w:rsidR="00837F41" w:rsidRDefault="00837F41" w:rsidP="00F4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F41" w:rsidRDefault="00837F41" w:rsidP="00F41780">
      <w:r>
        <w:separator/>
      </w:r>
    </w:p>
  </w:footnote>
  <w:footnote w:type="continuationSeparator" w:id="0">
    <w:p w:rsidR="00837F41" w:rsidRDefault="00837F41" w:rsidP="00F41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DDF"/>
    <w:multiLevelType w:val="hybridMultilevel"/>
    <w:tmpl w:val="02E69208"/>
    <w:lvl w:ilvl="0" w:tplc="8EAE44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EF7BB4"/>
    <w:multiLevelType w:val="hybridMultilevel"/>
    <w:tmpl w:val="F8C8B730"/>
    <w:lvl w:ilvl="0" w:tplc="73C4CB2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661"/>
    <w:rsid w:val="00033F41"/>
    <w:rsid w:val="00046839"/>
    <w:rsid w:val="00073B5A"/>
    <w:rsid w:val="000A5C62"/>
    <w:rsid w:val="000B196B"/>
    <w:rsid w:val="000B5681"/>
    <w:rsid w:val="000C2977"/>
    <w:rsid w:val="0012119A"/>
    <w:rsid w:val="001D2661"/>
    <w:rsid w:val="001F2B42"/>
    <w:rsid w:val="00213915"/>
    <w:rsid w:val="00274D98"/>
    <w:rsid w:val="002B23D3"/>
    <w:rsid w:val="002D20A9"/>
    <w:rsid w:val="003D0D92"/>
    <w:rsid w:val="00430526"/>
    <w:rsid w:val="00431CF8"/>
    <w:rsid w:val="004A2930"/>
    <w:rsid w:val="006873F3"/>
    <w:rsid w:val="006B24A9"/>
    <w:rsid w:val="007F48D8"/>
    <w:rsid w:val="007F4944"/>
    <w:rsid w:val="008017A3"/>
    <w:rsid w:val="00837F41"/>
    <w:rsid w:val="00847957"/>
    <w:rsid w:val="008D7364"/>
    <w:rsid w:val="00904B11"/>
    <w:rsid w:val="00940F74"/>
    <w:rsid w:val="00973208"/>
    <w:rsid w:val="00AA69F1"/>
    <w:rsid w:val="00B05EF4"/>
    <w:rsid w:val="00B34B40"/>
    <w:rsid w:val="00BF5E0B"/>
    <w:rsid w:val="00C577C1"/>
    <w:rsid w:val="00C61031"/>
    <w:rsid w:val="00C91A5A"/>
    <w:rsid w:val="00D302AB"/>
    <w:rsid w:val="00D5117B"/>
    <w:rsid w:val="00E03E2D"/>
    <w:rsid w:val="00E3657E"/>
    <w:rsid w:val="00E66830"/>
    <w:rsid w:val="00EC1814"/>
    <w:rsid w:val="00EE1087"/>
    <w:rsid w:val="00F41780"/>
    <w:rsid w:val="00FF3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87967"/>
  <w15:chartTrackingRefBased/>
  <w15:docId w15:val="{516BCC09-AC17-4EE2-9244-2D8676DA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1F2B42"/>
    <w:pPr>
      <w:spacing w:after="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1D2661"/>
    <w:rPr>
      <w:b/>
      <w:bCs/>
    </w:rPr>
  </w:style>
  <w:style w:type="paragraph" w:styleId="a4">
    <w:name w:val="List Paragraph"/>
    <w:basedOn w:val="a"/>
    <w:uiPriority w:val="34"/>
    <w:qFormat/>
    <w:rsid w:val="001D2661"/>
    <w:pPr>
      <w:ind w:leftChars="400" w:left="800"/>
      <w:jc w:val="both"/>
    </w:pPr>
    <w:rPr>
      <w:rFonts w:ascii="맑은 고딕" w:hAnsi="맑은 고딕" w:cs="Arial"/>
      <w:lang w:val="en-US" w:eastAsia="ko-KR"/>
    </w:rPr>
  </w:style>
  <w:style w:type="paragraph" w:styleId="a5">
    <w:name w:val="header"/>
    <w:basedOn w:val="a"/>
    <w:link w:val="Char"/>
    <w:uiPriority w:val="99"/>
    <w:unhideWhenUsed/>
    <w:rsid w:val="00F41780"/>
    <w:pPr>
      <w:tabs>
        <w:tab w:val="center" w:pos="4513"/>
        <w:tab w:val="right" w:pos="9026"/>
      </w:tabs>
      <w:snapToGrid w:val="0"/>
    </w:pPr>
  </w:style>
  <w:style w:type="character" w:customStyle="1" w:styleId="Char">
    <w:name w:val="머리글 Char"/>
    <w:basedOn w:val="a0"/>
    <w:link w:val="a5"/>
    <w:uiPriority w:val="99"/>
    <w:rsid w:val="00F41780"/>
    <w:rPr>
      <w:rFonts w:ascii="Times New Roman" w:eastAsia="맑은 고딕" w:hAnsi="Times New Roman" w:cs="Times New Roman"/>
      <w:kern w:val="0"/>
      <w:szCs w:val="20"/>
      <w:lang w:val="en-GB" w:eastAsia="en-US"/>
    </w:rPr>
  </w:style>
  <w:style w:type="paragraph" w:styleId="a6">
    <w:name w:val="footer"/>
    <w:basedOn w:val="a"/>
    <w:link w:val="Char0"/>
    <w:uiPriority w:val="99"/>
    <w:unhideWhenUsed/>
    <w:rsid w:val="00F41780"/>
    <w:pPr>
      <w:tabs>
        <w:tab w:val="center" w:pos="4513"/>
        <w:tab w:val="right" w:pos="9026"/>
      </w:tabs>
      <w:snapToGrid w:val="0"/>
    </w:pPr>
  </w:style>
  <w:style w:type="character" w:customStyle="1" w:styleId="Char0">
    <w:name w:val="바닥글 Char"/>
    <w:basedOn w:val="a0"/>
    <w:link w:val="a6"/>
    <w:uiPriority w:val="99"/>
    <w:rsid w:val="00F41780"/>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25744">
      <w:bodyDiv w:val="1"/>
      <w:marLeft w:val="0"/>
      <w:marRight w:val="0"/>
      <w:marTop w:val="0"/>
      <w:marBottom w:val="0"/>
      <w:divBdr>
        <w:top w:val="none" w:sz="0" w:space="0" w:color="auto"/>
        <w:left w:val="none" w:sz="0" w:space="0" w:color="auto"/>
        <w:bottom w:val="none" w:sz="0" w:space="0" w:color="auto"/>
        <w:right w:val="none" w:sz="0" w:space="0" w:color="auto"/>
      </w:divBdr>
    </w:div>
    <w:div w:id="1131439663">
      <w:bodyDiv w:val="1"/>
      <w:marLeft w:val="0"/>
      <w:marRight w:val="0"/>
      <w:marTop w:val="0"/>
      <w:marBottom w:val="0"/>
      <w:divBdr>
        <w:top w:val="none" w:sz="0" w:space="0" w:color="auto"/>
        <w:left w:val="none" w:sz="0" w:space="0" w:color="auto"/>
        <w:bottom w:val="none" w:sz="0" w:space="0" w:color="auto"/>
        <w:right w:val="none" w:sz="0" w:space="0" w:color="auto"/>
      </w:divBdr>
    </w:div>
    <w:div w:id="1165902131">
      <w:bodyDiv w:val="1"/>
      <w:marLeft w:val="0"/>
      <w:marRight w:val="0"/>
      <w:marTop w:val="0"/>
      <w:marBottom w:val="0"/>
      <w:divBdr>
        <w:top w:val="none" w:sz="0" w:space="0" w:color="auto"/>
        <w:left w:val="none" w:sz="0" w:space="0" w:color="auto"/>
        <w:bottom w:val="none" w:sz="0" w:space="0" w:color="auto"/>
        <w:right w:val="none" w:sz="0" w:space="0" w:color="auto"/>
      </w:divBdr>
    </w:div>
    <w:div w:id="1410426087">
      <w:bodyDiv w:val="1"/>
      <w:marLeft w:val="0"/>
      <w:marRight w:val="0"/>
      <w:marTop w:val="0"/>
      <w:marBottom w:val="0"/>
      <w:divBdr>
        <w:top w:val="none" w:sz="0" w:space="0" w:color="auto"/>
        <w:left w:val="none" w:sz="0" w:space="0" w:color="auto"/>
        <w:bottom w:val="none" w:sz="0" w:space="0" w:color="auto"/>
        <w:right w:val="none" w:sz="0" w:space="0" w:color="auto"/>
      </w:divBdr>
    </w:div>
    <w:div w:id="1515071141">
      <w:bodyDiv w:val="1"/>
      <w:marLeft w:val="0"/>
      <w:marRight w:val="0"/>
      <w:marTop w:val="0"/>
      <w:marBottom w:val="0"/>
      <w:divBdr>
        <w:top w:val="none" w:sz="0" w:space="0" w:color="auto"/>
        <w:left w:val="none" w:sz="0" w:space="0" w:color="auto"/>
        <w:bottom w:val="none" w:sz="0" w:space="0" w:color="auto"/>
        <w:right w:val="none" w:sz="0" w:space="0" w:color="auto"/>
      </w:divBdr>
    </w:div>
    <w:div w:id="1621186676">
      <w:bodyDiv w:val="1"/>
      <w:marLeft w:val="0"/>
      <w:marRight w:val="0"/>
      <w:marTop w:val="0"/>
      <w:marBottom w:val="0"/>
      <w:divBdr>
        <w:top w:val="none" w:sz="0" w:space="0" w:color="auto"/>
        <w:left w:val="none" w:sz="0" w:space="0" w:color="auto"/>
        <w:bottom w:val="none" w:sz="0" w:space="0" w:color="auto"/>
        <w:right w:val="none" w:sz="0" w:space="0" w:color="auto"/>
      </w:divBdr>
    </w:div>
    <w:div w:id="1730154858">
      <w:bodyDiv w:val="1"/>
      <w:marLeft w:val="0"/>
      <w:marRight w:val="0"/>
      <w:marTop w:val="0"/>
      <w:marBottom w:val="0"/>
      <w:divBdr>
        <w:top w:val="none" w:sz="0" w:space="0" w:color="auto"/>
        <w:left w:val="none" w:sz="0" w:space="0" w:color="auto"/>
        <w:bottom w:val="none" w:sz="0" w:space="0" w:color="auto"/>
        <w:right w:val="none" w:sz="0" w:space="0" w:color="auto"/>
      </w:divBdr>
    </w:div>
    <w:div w:id="21315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1121</Words>
  <Characters>6396</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2</cp:revision>
  <dcterms:created xsi:type="dcterms:W3CDTF">2019-08-16T06:04:00Z</dcterms:created>
  <dcterms:modified xsi:type="dcterms:W3CDTF">2019-08-16T06:04:00Z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G:\Standards\RAN2 Work\RAN2 Meetings\RAN2 #105\Fast HO Recovery - T312\T312 enhacement for NR samsung only.docx</vt:lpwstr>
  </property>
</Properties>
</file>